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en-GB"/>
        </w:rPr>
        <w:id w:val="41334181"/>
        <w:docPartObj>
          <w:docPartGallery w:val="Cover Pages"/>
          <w:docPartUnique/>
        </w:docPartObj>
      </w:sdtPr>
      <w:sdtContent>
        <w:p w14:paraId="4A27B038" w14:textId="661E6C9C" w:rsidR="005C136B" w:rsidRPr="004C7100" w:rsidRDefault="005C136B">
          <w:pPr>
            <w:rPr>
              <w:lang w:val="en-GB"/>
            </w:rPr>
          </w:pPr>
          <w:r w:rsidRPr="004C7100">
            <w:rPr>
              <w:noProof/>
              <w:lang w:val="en-GB" w:eastAsia="en-GB"/>
            </w:rPr>
            <mc:AlternateContent>
              <mc:Choice Requires="wps">
                <w:drawing>
                  <wp:anchor distT="0" distB="0" distL="114300" distR="114300" simplePos="0" relativeHeight="251696128" behindDoc="0" locked="0" layoutInCell="1" allowOverlap="1" wp14:anchorId="2C15662E" wp14:editId="4BFDC73B">
                    <wp:simplePos x="0" y="0"/>
                    <wp:positionH relativeFrom="column">
                      <wp:posOffset>-883920</wp:posOffset>
                    </wp:positionH>
                    <wp:positionV relativeFrom="margin">
                      <wp:posOffset>3152775</wp:posOffset>
                    </wp:positionV>
                    <wp:extent cx="7498080" cy="1920240"/>
                    <wp:effectExtent l="0" t="0" r="7620" b="3810"/>
                    <wp:wrapNone/>
                    <wp:docPr id="6" name="Rectangle 4"/>
                    <wp:cNvGraphicFramePr/>
                    <a:graphic xmlns:a="http://schemas.openxmlformats.org/drawingml/2006/main">
                      <a:graphicData uri="http://schemas.microsoft.com/office/word/2010/wordprocessingShape">
                        <wps:wsp>
                          <wps:cNvSpPr/>
                          <wps:spPr>
                            <a:xfrm>
                              <a:off x="0" y="0"/>
                              <a:ext cx="7498080" cy="1920240"/>
                            </a:xfrm>
                            <a:prstGeom prst="rect">
                              <a:avLst/>
                            </a:prstGeom>
                            <a:solidFill>
                              <a:srgbClr val="005CA9"/>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69.6pt;margin-top:248.25pt;width:590.4pt;height:15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" fillcolor="#005ca9" stroked="f" strokeweight="2pt">
                    <w10:wrap anchory="margin"/>
                  </v:rect>
                </w:pict>
              </mc:Fallback>
            </mc:AlternateContent>
          </w:r>
          <w:r w:rsidRPr="004C7100">
            <w:rPr>
              <w:noProof/>
              <w:lang w:val="en-GB" w:eastAsia="en-GB"/>
            </w:rPr>
            <w:drawing>
              <wp:anchor distT="0" distB="0" distL="114300" distR="114300" simplePos="0" relativeHeight="251697152" behindDoc="1" locked="0" layoutInCell="1" allowOverlap="1" wp14:anchorId="61D0F813" wp14:editId="28C9E258">
                <wp:simplePos x="0" y="0"/>
                <wp:positionH relativeFrom="margin">
                  <wp:posOffset>1961515</wp:posOffset>
                </wp:positionH>
                <wp:positionV relativeFrom="paragraph">
                  <wp:posOffset>361315</wp:posOffset>
                </wp:positionV>
                <wp:extent cx="1809750" cy="933450"/>
                <wp:effectExtent l="0" t="0" r="0" b="0"/>
                <wp:wrapThrough wrapText="bothSides">
                  <wp:wrapPolygon edited="0">
                    <wp:start x="0" y="0"/>
                    <wp:lineTo x="0" y="21159"/>
                    <wp:lineTo x="21373" y="21159"/>
                    <wp:lineTo x="21373" y="0"/>
                    <wp:lineTo x="0" y="0"/>
                  </wp:wrapPolygon>
                </wp:wrapThrough>
                <wp:docPr id="13" name="Picture 13" descr="brid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dge_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0" cy="933450"/>
                        </a:xfrm>
                        <a:prstGeom prst="rect">
                          <a:avLst/>
                        </a:prstGeom>
                        <a:noFill/>
                      </pic:spPr>
                    </pic:pic>
                  </a:graphicData>
                </a:graphic>
                <wp14:sizeRelH relativeFrom="page">
                  <wp14:pctWidth>0</wp14:pctWidth>
                </wp14:sizeRelH>
                <wp14:sizeRelV relativeFrom="page">
                  <wp14:pctHeight>0</wp14:pctHeight>
                </wp14:sizeRelV>
              </wp:anchor>
            </w:drawing>
          </w:r>
        </w:p>
        <w:p w14:paraId="6FA03FCA" w14:textId="77777777" w:rsidR="005C136B" w:rsidRPr="00882700" w:rsidRDefault="00031BDE">
          <w:pPr>
            <w:rPr>
              <w:lang w:val="en-GB"/>
            </w:rPr>
          </w:pPr>
          <w:r w:rsidRPr="004C7100">
            <w:rPr>
              <w:noProof/>
              <w:lang w:val="en-GB" w:eastAsia="en-GB"/>
            </w:rPr>
            <mc:AlternateContent>
              <mc:Choice Requires="wps">
                <w:drawing>
                  <wp:anchor distT="0" distB="0" distL="114300" distR="114300" simplePos="0" relativeHeight="251702272" behindDoc="0" locked="0" layoutInCell="1" allowOverlap="1" wp14:anchorId="63FD23F5" wp14:editId="01594D9E">
                    <wp:simplePos x="0" y="0"/>
                    <wp:positionH relativeFrom="margin">
                      <wp:align>center</wp:align>
                    </wp:positionH>
                    <wp:positionV relativeFrom="paragraph">
                      <wp:posOffset>3089275</wp:posOffset>
                    </wp:positionV>
                    <wp:extent cx="7040880" cy="1397635"/>
                    <wp:effectExtent l="0" t="0" r="0" b="0"/>
                    <wp:wrapNone/>
                    <wp:docPr id="8"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7040880" cy="139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836FF" w14:textId="77777777" w:rsidR="00F852C8" w:rsidRDefault="00F852C8" w:rsidP="00031BDE">
                                <w:pPr>
                                  <w:pStyle w:val="NormalWeb"/>
                                  <w:spacing w:before="0" w:beforeAutospacing="0" w:after="0" w:afterAutospacing="0"/>
                                  <w:jc w:val="center"/>
                                  <w:textAlignment w:val="baseline"/>
                                  <w:rPr>
                                    <w:rFonts w:ascii="Trebuchet MS" w:eastAsiaTheme="minorHAnsi" w:hAnsi="Trebuchet MS" w:cstheme="minorBidi"/>
                                    <w:sz w:val="22"/>
                                    <w:szCs w:val="22"/>
                                  </w:rPr>
                                </w:pPr>
                                <w:r w:rsidRPr="00B00D81">
                                  <w:rPr>
                                    <w:rFonts w:ascii="Trebuchet MS" w:eastAsia="Tahoma" w:hAnsi="Trebuchet MS" w:cs="Tahoma"/>
                                    <w:color w:val="FFFFFF" w:themeColor="background1"/>
                                    <w:kern w:val="24"/>
                                    <w:sz w:val="64"/>
                                    <w:szCs w:val="64"/>
                                    <w:lang w:val="en-GB"/>
                                  </w:rPr>
                                  <w:t>HIREP-ERIC</w:t>
                                </w:r>
                                <w:r w:rsidRPr="00031BDE">
                                  <w:rPr>
                                    <w:rFonts w:ascii="Trebuchet MS" w:eastAsiaTheme="minorHAnsi" w:hAnsi="Trebuchet MS" w:cstheme="minorBidi"/>
                                    <w:sz w:val="22"/>
                                    <w:szCs w:val="22"/>
                                  </w:rPr>
                                  <w:t xml:space="preserve"> </w:t>
                                </w:r>
                              </w:p>
                              <w:p w14:paraId="10D2B838" w14:textId="77777777" w:rsidR="00F852C8" w:rsidRDefault="00F852C8" w:rsidP="00031BDE">
                                <w:pPr>
                                  <w:pStyle w:val="NormalWeb"/>
                                  <w:spacing w:before="0" w:beforeAutospacing="0" w:after="0" w:afterAutospacing="0"/>
                                  <w:jc w:val="center"/>
                                  <w:textAlignment w:val="baseline"/>
                                  <w:rPr>
                                    <w:rFonts w:ascii="Trebuchet MS" w:eastAsiaTheme="minorHAnsi" w:hAnsi="Trebuchet MS" w:cstheme="minorBidi"/>
                                    <w:sz w:val="22"/>
                                    <w:szCs w:val="22"/>
                                  </w:rPr>
                                </w:pPr>
                              </w:p>
                              <w:p w14:paraId="7EF1FF2D" w14:textId="77777777" w:rsidR="00F852C8" w:rsidRPr="00CA03F0" w:rsidRDefault="00F852C8" w:rsidP="00031BDE">
                                <w:pPr>
                                  <w:pStyle w:val="NormalWeb"/>
                                  <w:spacing w:before="0" w:beforeAutospacing="0" w:after="0" w:afterAutospacing="0"/>
                                  <w:jc w:val="center"/>
                                  <w:textAlignment w:val="baseline"/>
                                  <w:rPr>
                                    <w:rFonts w:ascii="Trebuchet MS" w:eastAsia="Tahoma" w:hAnsi="Trebuchet MS" w:cs="Tahoma"/>
                                    <w:color w:val="FFFFFF" w:themeColor="background1"/>
                                    <w:kern w:val="24"/>
                                    <w:sz w:val="180"/>
                                    <w:szCs w:val="64"/>
                                  </w:rPr>
                                </w:pPr>
                                <w:proofErr w:type="gramStart"/>
                                <w:r w:rsidRPr="00031BDE">
                                  <w:rPr>
                                    <w:rFonts w:ascii="Trebuchet MS" w:eastAsia="Tahoma" w:hAnsi="Trebuchet MS" w:cs="Tahoma"/>
                                    <w:color w:val="FFFFFF" w:themeColor="background1"/>
                                    <w:kern w:val="24"/>
                                    <w:sz w:val="44"/>
                                  </w:rPr>
                                  <w:t>A research infrastructure to advance public health monitoring and research on health and care.</w:t>
                                </w:r>
                                <w:proofErr w:type="gramEnd"/>
                                <w:r w:rsidRPr="00031BDE">
                                  <w:rPr>
                                    <w:rFonts w:ascii="Trebuchet MS" w:eastAsia="Tahoma" w:hAnsi="Trebuchet MS" w:cs="Tahoma"/>
                                    <w:color w:val="FFFFFF" w:themeColor="background1"/>
                                    <w:kern w:val="24"/>
                                    <w:sz w:val="180"/>
                                    <w:szCs w:val="64"/>
                                  </w:rPr>
                                  <w:t xml:space="preserve"> </w:t>
                                </w:r>
                                <w:r w:rsidRPr="00CA03F0">
                                  <w:rPr>
                                    <w:rFonts w:ascii="Trebuchet MS" w:eastAsia="Tahoma" w:hAnsi="Trebuchet MS" w:cs="Tahoma"/>
                                    <w:color w:val="FFFFFF" w:themeColor="background1"/>
                                    <w:kern w:val="24"/>
                                    <w:sz w:val="180"/>
                                    <w:szCs w:val="64"/>
                                  </w:rPr>
                                  <w:t xml:space="preserve"> </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itle 1" o:spid="_x0000_s1026" style="position:absolute;left:0;text-align:left;margin-left:0;margin-top:243.25pt;width:554.4pt;height:110.0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" filled="f" stroked="f">
                    <v:path arrowok="t"/>
                    <o:lock v:ext="edit" grouping="t"/>
                    <v:textbox>
                      <w:txbxContent>
                        <w:p w14:paraId="3B2836FF" w14:textId="77777777" w:rsidR="00427A7C" w:rsidRDefault="00427A7C" w:rsidP="00031BDE">
                          <w:pPr>
                            <w:pStyle w:val="NormalWeb"/>
                            <w:spacing w:before="0" w:beforeAutospacing="0" w:after="0" w:afterAutospacing="0"/>
                            <w:jc w:val="center"/>
                            <w:textAlignment w:val="baseline"/>
                            <w:rPr>
                              <w:rFonts w:ascii="Trebuchet MS" w:eastAsiaTheme="minorHAnsi" w:hAnsi="Trebuchet MS" w:cstheme="minorBidi"/>
                              <w:sz w:val="22"/>
                              <w:szCs w:val="22"/>
                            </w:rPr>
                          </w:pPr>
                          <w:r w:rsidRPr="00B00D81">
                            <w:rPr>
                              <w:rFonts w:ascii="Trebuchet MS" w:eastAsia="Tahoma" w:hAnsi="Trebuchet MS" w:cs="Tahoma"/>
                              <w:color w:val="FFFFFF" w:themeColor="background1"/>
                              <w:kern w:val="24"/>
                              <w:sz w:val="64"/>
                              <w:szCs w:val="64"/>
                              <w:lang w:val="en-GB"/>
                            </w:rPr>
                            <w:t>HIREP-ERIC</w:t>
                          </w:r>
                          <w:r w:rsidRPr="00031BDE">
                            <w:rPr>
                              <w:rFonts w:ascii="Trebuchet MS" w:eastAsiaTheme="minorHAnsi" w:hAnsi="Trebuchet MS" w:cstheme="minorBidi"/>
                              <w:sz w:val="22"/>
                              <w:szCs w:val="22"/>
                            </w:rPr>
                            <w:t xml:space="preserve"> </w:t>
                          </w:r>
                        </w:p>
                        <w:p w14:paraId="10D2B838" w14:textId="77777777" w:rsidR="00427A7C" w:rsidRDefault="00427A7C" w:rsidP="00031BDE">
                          <w:pPr>
                            <w:pStyle w:val="NormalWeb"/>
                            <w:spacing w:before="0" w:beforeAutospacing="0" w:after="0" w:afterAutospacing="0"/>
                            <w:jc w:val="center"/>
                            <w:textAlignment w:val="baseline"/>
                            <w:rPr>
                              <w:rFonts w:ascii="Trebuchet MS" w:eastAsiaTheme="minorHAnsi" w:hAnsi="Trebuchet MS" w:cstheme="minorBidi"/>
                              <w:sz w:val="22"/>
                              <w:szCs w:val="22"/>
                            </w:rPr>
                          </w:pPr>
                        </w:p>
                        <w:p w14:paraId="7EF1FF2D" w14:textId="77777777" w:rsidR="00427A7C" w:rsidRPr="00CA03F0" w:rsidRDefault="00427A7C" w:rsidP="00031BDE">
                          <w:pPr>
                            <w:pStyle w:val="NormalWeb"/>
                            <w:spacing w:before="0" w:beforeAutospacing="0" w:after="0" w:afterAutospacing="0"/>
                            <w:jc w:val="center"/>
                            <w:textAlignment w:val="baseline"/>
                            <w:rPr>
                              <w:rFonts w:ascii="Trebuchet MS" w:eastAsia="Tahoma" w:hAnsi="Trebuchet MS" w:cs="Tahoma"/>
                              <w:color w:val="FFFFFF" w:themeColor="background1"/>
                              <w:kern w:val="24"/>
                              <w:sz w:val="180"/>
                              <w:szCs w:val="64"/>
                            </w:rPr>
                          </w:pPr>
                          <w:proofErr w:type="gramStart"/>
                          <w:r w:rsidRPr="00031BDE">
                            <w:rPr>
                              <w:rFonts w:ascii="Trebuchet MS" w:eastAsia="Tahoma" w:hAnsi="Trebuchet MS" w:cs="Tahoma"/>
                              <w:color w:val="FFFFFF" w:themeColor="background1"/>
                              <w:kern w:val="24"/>
                              <w:sz w:val="44"/>
                            </w:rPr>
                            <w:t>A research infrastructure to advance public health monitoring and research on health and care.</w:t>
                          </w:r>
                          <w:proofErr w:type="gramEnd"/>
                          <w:r w:rsidRPr="00031BDE">
                            <w:rPr>
                              <w:rFonts w:ascii="Trebuchet MS" w:eastAsia="Tahoma" w:hAnsi="Trebuchet MS" w:cs="Tahoma"/>
                              <w:color w:val="FFFFFF" w:themeColor="background1"/>
                              <w:kern w:val="24"/>
                              <w:sz w:val="180"/>
                              <w:szCs w:val="64"/>
                            </w:rPr>
                            <w:t xml:space="preserve"> </w:t>
                          </w:r>
                          <w:r w:rsidRPr="00CA03F0">
                            <w:rPr>
                              <w:rFonts w:ascii="Trebuchet MS" w:eastAsia="Tahoma" w:hAnsi="Trebuchet MS" w:cs="Tahoma"/>
                              <w:color w:val="FFFFFF" w:themeColor="background1"/>
                              <w:kern w:val="24"/>
                              <w:sz w:val="180"/>
                              <w:szCs w:val="64"/>
                            </w:rPr>
                            <w:t xml:space="preserve"> </w:t>
                          </w:r>
                        </w:p>
                      </w:txbxContent>
                    </v:textbox>
                    <w10:wrap anchorx="margin"/>
                  </v:rect>
                </w:pict>
              </mc:Fallback>
            </mc:AlternateContent>
          </w:r>
          <w:r>
            <w:rPr>
              <w:noProof/>
              <w:lang w:val="en-GB" w:eastAsia="en-GB"/>
            </w:rPr>
            <mc:AlternateContent>
              <mc:Choice Requires="wps">
                <w:drawing>
                  <wp:anchor distT="0" distB="0" distL="114300" distR="114300" simplePos="0" relativeHeight="251703296" behindDoc="0" locked="0" layoutInCell="1" allowOverlap="1" wp14:anchorId="5A03512E" wp14:editId="4C4E470D">
                    <wp:simplePos x="0" y="0"/>
                    <wp:positionH relativeFrom="column">
                      <wp:posOffset>1301750</wp:posOffset>
                    </wp:positionH>
                    <wp:positionV relativeFrom="paragraph">
                      <wp:posOffset>4922578</wp:posOffset>
                    </wp:positionV>
                    <wp:extent cx="5115560" cy="63119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115560" cy="631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8AE6A" w14:textId="77777777" w:rsidR="00F852C8" w:rsidRPr="00031BDE" w:rsidRDefault="00F852C8">
                                <w:pPr>
                                  <w:rPr>
                                    <w:color w:val="005CA9"/>
                                    <w:sz w:val="8"/>
                                    <w:lang w:val="fr-BE"/>
                                  </w:rPr>
                                </w:pPr>
                                <w:proofErr w:type="spellStart"/>
                                <w:r w:rsidRPr="00031BDE">
                                  <w:rPr>
                                    <w:rFonts w:eastAsia="Tahoma" w:cs="Tahoma"/>
                                    <w:color w:val="005CA9"/>
                                    <w:kern w:val="24"/>
                                    <w:sz w:val="32"/>
                                    <w:szCs w:val="64"/>
                                    <w:lang w:val="fr-BE"/>
                                  </w:rPr>
                                  <w:t>Technical</w:t>
                                </w:r>
                                <w:proofErr w:type="spellEnd"/>
                                <w:r w:rsidRPr="00031BDE">
                                  <w:rPr>
                                    <w:rFonts w:eastAsia="Tahoma" w:cs="Tahoma"/>
                                    <w:color w:val="005CA9"/>
                                    <w:kern w:val="24"/>
                                    <w:sz w:val="32"/>
                                    <w:szCs w:val="64"/>
                                    <w:lang w:val="fr-BE"/>
                                  </w:rPr>
                                  <w:t xml:space="preserve"> and </w:t>
                                </w:r>
                                <w:proofErr w:type="spellStart"/>
                                <w:r w:rsidRPr="00031BDE">
                                  <w:rPr>
                                    <w:rFonts w:eastAsia="Tahoma" w:cs="Tahoma"/>
                                    <w:color w:val="005CA9"/>
                                    <w:kern w:val="24"/>
                                    <w:sz w:val="32"/>
                                    <w:szCs w:val="64"/>
                                    <w:lang w:val="fr-BE"/>
                                  </w:rPr>
                                  <w:t>Scientific</w:t>
                                </w:r>
                                <w:proofErr w:type="spellEnd"/>
                                <w:r w:rsidRPr="00031BDE">
                                  <w:rPr>
                                    <w:rFonts w:eastAsia="Tahoma" w:cs="Tahoma"/>
                                    <w:color w:val="005CA9"/>
                                    <w:kern w:val="24"/>
                                    <w:sz w:val="32"/>
                                    <w:szCs w:val="64"/>
                                    <w:lang w:val="fr-BE"/>
                                  </w:rPr>
                                  <w:t xml:space="preserve">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2" o:spid="_x0000_s1027" type="#_x0000_t202" style="position:absolute;left:0;text-align:left;margin-left:102.5pt;margin-top:387.6pt;width:402.8pt;height:49.7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" filled="f" stroked="f" strokeweight=".5pt">
                    <v:textbox>
                      <w:txbxContent>
                        <w:p w14:paraId="75E8AE6A" w14:textId="77777777" w:rsidR="00427A7C" w:rsidRPr="00031BDE" w:rsidRDefault="00427A7C">
                          <w:pPr>
                            <w:rPr>
                              <w:color w:val="005CA9"/>
                              <w:sz w:val="8"/>
                              <w:lang w:val="fr-BE"/>
                            </w:rPr>
                          </w:pPr>
                          <w:proofErr w:type="spellStart"/>
                          <w:r w:rsidRPr="00031BDE">
                            <w:rPr>
                              <w:rFonts w:eastAsia="Tahoma" w:cs="Tahoma"/>
                              <w:color w:val="005CA9"/>
                              <w:kern w:val="24"/>
                              <w:sz w:val="32"/>
                              <w:szCs w:val="64"/>
                              <w:lang w:val="fr-BE"/>
                            </w:rPr>
                            <w:t>Technical</w:t>
                          </w:r>
                          <w:proofErr w:type="spellEnd"/>
                          <w:r w:rsidRPr="00031BDE">
                            <w:rPr>
                              <w:rFonts w:eastAsia="Tahoma" w:cs="Tahoma"/>
                              <w:color w:val="005CA9"/>
                              <w:kern w:val="24"/>
                              <w:sz w:val="32"/>
                              <w:szCs w:val="64"/>
                              <w:lang w:val="fr-BE"/>
                            </w:rPr>
                            <w:t xml:space="preserve"> and </w:t>
                          </w:r>
                          <w:proofErr w:type="spellStart"/>
                          <w:r w:rsidRPr="00031BDE">
                            <w:rPr>
                              <w:rFonts w:eastAsia="Tahoma" w:cs="Tahoma"/>
                              <w:color w:val="005CA9"/>
                              <w:kern w:val="24"/>
                              <w:sz w:val="32"/>
                              <w:szCs w:val="64"/>
                              <w:lang w:val="fr-BE"/>
                            </w:rPr>
                            <w:t>Scientific</w:t>
                          </w:r>
                          <w:proofErr w:type="spellEnd"/>
                          <w:r w:rsidRPr="00031BDE">
                            <w:rPr>
                              <w:rFonts w:eastAsia="Tahoma" w:cs="Tahoma"/>
                              <w:color w:val="005CA9"/>
                              <w:kern w:val="24"/>
                              <w:sz w:val="32"/>
                              <w:szCs w:val="64"/>
                              <w:lang w:val="fr-BE"/>
                            </w:rPr>
                            <w:t xml:space="preserve"> Description.</w:t>
                          </w:r>
                        </w:p>
                      </w:txbxContent>
                    </v:textbox>
                  </v:shape>
                </w:pict>
              </mc:Fallback>
            </mc:AlternateContent>
          </w:r>
          <w:r w:rsidR="00F51843" w:rsidRPr="004C7100">
            <w:rPr>
              <w:noProof/>
              <w:lang w:val="en-GB" w:eastAsia="en-GB"/>
            </w:rPr>
            <mc:AlternateContent>
              <mc:Choice Requires="wps">
                <w:drawing>
                  <wp:anchor distT="0" distB="0" distL="114300" distR="114300" simplePos="0" relativeHeight="251699200" behindDoc="0" locked="0" layoutInCell="1" allowOverlap="1" wp14:anchorId="72088DE5" wp14:editId="4D3871AB">
                    <wp:simplePos x="0" y="0"/>
                    <wp:positionH relativeFrom="column">
                      <wp:posOffset>-813435</wp:posOffset>
                    </wp:positionH>
                    <wp:positionV relativeFrom="margin">
                      <wp:posOffset>8734425</wp:posOffset>
                    </wp:positionV>
                    <wp:extent cx="4531360" cy="952500"/>
                    <wp:effectExtent l="0" t="0" r="0" b="0"/>
                    <wp:wrapNone/>
                    <wp:docPr id="9" name="TextBox 1"/>
                    <wp:cNvGraphicFramePr/>
                    <a:graphic xmlns:a="http://schemas.openxmlformats.org/drawingml/2006/main">
                      <a:graphicData uri="http://schemas.microsoft.com/office/word/2010/wordprocessingShape">
                        <wps:wsp>
                          <wps:cNvSpPr txBox="1"/>
                          <wps:spPr>
                            <a:xfrm>
                              <a:off x="0" y="0"/>
                              <a:ext cx="4531360" cy="952500"/>
                            </a:xfrm>
                            <a:prstGeom prst="rect">
                              <a:avLst/>
                            </a:prstGeom>
                            <a:noFill/>
                          </wps:spPr>
                          <wps:txbx>
                            <w:txbxContent>
                              <w:p w14:paraId="6BA977D3" w14:textId="77777777" w:rsidR="00F852C8" w:rsidRPr="003E5AF9" w:rsidRDefault="00F852C8" w:rsidP="00E44392">
                                <w:pPr>
                                  <w:pStyle w:val="NormalWeb"/>
                                  <w:spacing w:before="0" w:beforeAutospacing="0" w:after="240" w:afterAutospacing="0" w:line="276" w:lineRule="auto"/>
                                  <w:textAlignment w:val="baseline"/>
                                  <w:rPr>
                                    <w:rFonts w:ascii="Trebuchet MS" w:hAnsi="Trebuchet MS" w:cs="Arial"/>
                                    <w:color w:val="000000" w:themeColor="text1"/>
                                    <w:kern w:val="24"/>
                                    <w:sz w:val="22"/>
                                  </w:rPr>
                                </w:pPr>
                                <w:r w:rsidRPr="003E5AF9">
                                  <w:rPr>
                                    <w:rFonts w:ascii="Trebuchet MS" w:hAnsi="Trebuchet MS" w:cs="Arial"/>
                                    <w:color w:val="000000" w:themeColor="text1"/>
                                    <w:kern w:val="24"/>
                                    <w:sz w:val="22"/>
                                  </w:rPr>
                                  <w:t>Petronille Bogaert and Herman Van Oyen for BRIDGE Health</w:t>
                                </w:r>
                              </w:p>
                              <w:p w14:paraId="5F66D642" w14:textId="77777777" w:rsidR="00F852C8" w:rsidRDefault="00F852C8" w:rsidP="00E44392">
                                <w:pPr>
                                  <w:pStyle w:val="NormalWeb"/>
                                  <w:spacing w:before="0" w:beforeAutospacing="0" w:after="0" w:afterAutospacing="0" w:line="276" w:lineRule="auto"/>
                                  <w:textAlignment w:val="baseline"/>
                                  <w:rPr>
                                    <w:rFonts w:ascii="Trebuchet MS" w:hAnsi="Trebuchet MS" w:cs="Arial"/>
                                    <w:color w:val="000000" w:themeColor="text1"/>
                                    <w:kern w:val="24"/>
                                    <w:sz w:val="20"/>
                                    <w:lang w:val="en-GB"/>
                                  </w:rPr>
                                </w:pPr>
                                <w:r w:rsidRPr="00A67295">
                                  <w:rPr>
                                    <w:rFonts w:ascii="Trebuchet MS" w:hAnsi="Trebuchet MS" w:cs="Arial"/>
                                    <w:color w:val="000000" w:themeColor="text1"/>
                                    <w:kern w:val="24"/>
                                    <w:sz w:val="20"/>
                                    <w:lang w:val="en-GB"/>
                                  </w:rPr>
                                  <w:t xml:space="preserve">Scientific Institute of Public Health | Rue Juliette </w:t>
                                </w:r>
                                <w:proofErr w:type="spellStart"/>
                                <w:r w:rsidRPr="00A67295">
                                  <w:rPr>
                                    <w:rFonts w:ascii="Trebuchet MS" w:hAnsi="Trebuchet MS" w:cs="Arial"/>
                                    <w:color w:val="000000" w:themeColor="text1"/>
                                    <w:kern w:val="24"/>
                                    <w:sz w:val="20"/>
                                    <w:lang w:val="en-GB"/>
                                  </w:rPr>
                                  <w:t>Wytsmanstraat</w:t>
                                </w:r>
                                <w:proofErr w:type="spellEnd"/>
                                <w:r w:rsidRPr="00A67295">
                                  <w:rPr>
                                    <w:rFonts w:ascii="Trebuchet MS" w:hAnsi="Trebuchet MS" w:cs="Arial"/>
                                    <w:color w:val="000000" w:themeColor="text1"/>
                                    <w:kern w:val="24"/>
                                    <w:sz w:val="20"/>
                                    <w:lang w:val="en-GB"/>
                                  </w:rPr>
                                  <w:t xml:space="preserve"> 14 |</w:t>
                                </w:r>
                              </w:p>
                              <w:p w14:paraId="07367E84" w14:textId="77777777" w:rsidR="00F852C8" w:rsidRPr="00606929" w:rsidRDefault="00F852C8" w:rsidP="00E44392">
                                <w:pPr>
                                  <w:pStyle w:val="NormalWeb"/>
                                  <w:spacing w:before="0" w:beforeAutospacing="0" w:after="0" w:afterAutospacing="0" w:line="276" w:lineRule="auto"/>
                                  <w:textAlignment w:val="baseline"/>
                                  <w:rPr>
                                    <w:rFonts w:ascii="Trebuchet MS" w:hAnsi="Trebuchet MS" w:cs="Arial"/>
                                    <w:kern w:val="24"/>
                                    <w:sz w:val="20"/>
                                    <w:lang w:val="fr-FR"/>
                                  </w:rPr>
                                </w:pPr>
                                <w:r w:rsidRPr="00606929">
                                  <w:rPr>
                                    <w:rFonts w:ascii="Trebuchet MS" w:hAnsi="Trebuchet MS" w:cs="Arial"/>
                                    <w:color w:val="000000" w:themeColor="text1"/>
                                    <w:kern w:val="24"/>
                                    <w:sz w:val="20"/>
                                    <w:lang w:val="fr-FR"/>
                                  </w:rPr>
                                  <w:t xml:space="preserve">1050 Brussels | </w:t>
                                </w:r>
                                <w:proofErr w:type="spellStart"/>
                                <w:r w:rsidRPr="00606929">
                                  <w:rPr>
                                    <w:rFonts w:ascii="Trebuchet MS" w:hAnsi="Trebuchet MS" w:cs="Arial"/>
                                    <w:color w:val="000000" w:themeColor="text1"/>
                                    <w:kern w:val="24"/>
                                    <w:sz w:val="20"/>
                                    <w:lang w:val="fr-FR"/>
                                  </w:rPr>
                                  <w:t>Belgium</w:t>
                                </w:r>
                                <w:proofErr w:type="spellEnd"/>
                                <w:r w:rsidRPr="00606929">
                                  <w:rPr>
                                    <w:rFonts w:ascii="Trebuchet MS" w:hAnsi="Trebuchet MS" w:cs="Arial"/>
                                    <w:color w:val="000000" w:themeColor="text1"/>
                                    <w:kern w:val="24"/>
                                    <w:sz w:val="20"/>
                                    <w:lang w:val="fr-FR"/>
                                  </w:rPr>
                                  <w:t xml:space="preserve">| e-mail: </w:t>
                                </w:r>
                                <w:r w:rsidRPr="00606929">
                                  <w:rPr>
                                    <w:rFonts w:ascii="Trebuchet MS" w:hAnsi="Trebuchet MS" w:cs="Arial"/>
                                    <w:kern w:val="24"/>
                                    <w:sz w:val="20"/>
                                    <w:lang w:val="fr-FR"/>
                                  </w:rPr>
                                  <w:t>bridge.coordination@wiv-isp.be|</w:t>
                                </w:r>
                              </w:p>
                              <w:p w14:paraId="50A04DF1" w14:textId="77777777" w:rsidR="00F852C8" w:rsidRPr="00606929" w:rsidRDefault="00F852C8" w:rsidP="00E44392">
                                <w:pPr>
                                  <w:pStyle w:val="NormalWeb"/>
                                  <w:spacing w:before="0" w:beforeAutospacing="0" w:after="0" w:afterAutospacing="0" w:line="276" w:lineRule="auto"/>
                                  <w:textAlignment w:val="baseline"/>
                                  <w:rPr>
                                    <w:sz w:val="22"/>
                                    <w:lang w:val="nl-NL"/>
                                  </w:rPr>
                                </w:pPr>
                                <w:r w:rsidRPr="00606929">
                                  <w:rPr>
                                    <w:rFonts w:ascii="Trebuchet MS" w:hAnsi="Trebuchet MS" w:cs="Arial"/>
                                    <w:kern w:val="24"/>
                                    <w:sz w:val="20"/>
                                    <w:lang w:val="nl-NL"/>
                                  </w:rPr>
                                  <w:t xml:space="preserve">Website: </w:t>
                                </w:r>
                                <w:r>
                                  <w:fldChar w:fldCharType="begin"/>
                                </w:r>
                                <w:r w:rsidRPr="00F852C8">
                                  <w:rPr>
                                    <w:lang w:val="nl-BE"/>
                                  </w:rPr>
                                  <w:instrText xml:space="preserve"> HYPERLINK "http://www.bridge-health.eu" </w:instrText>
                                </w:r>
                                <w:r>
                                  <w:fldChar w:fldCharType="separate"/>
                                </w:r>
                                <w:r w:rsidRPr="00606929">
                                  <w:rPr>
                                    <w:rStyle w:val="Hyperlink"/>
                                    <w:rFonts w:ascii="Trebuchet MS" w:hAnsi="Trebuchet MS" w:cs="Arial"/>
                                    <w:bCs/>
                                    <w:color w:val="auto"/>
                                    <w:kern w:val="24"/>
                                    <w:sz w:val="20"/>
                                    <w:u w:val="none"/>
                                    <w:lang w:val="nl-NL"/>
                                  </w:rPr>
                                  <w:t>www.bridge-health.eu</w:t>
                                </w:r>
                                <w:r>
                                  <w:rPr>
                                    <w:rStyle w:val="Hyperlink"/>
                                    <w:rFonts w:ascii="Trebuchet MS" w:hAnsi="Trebuchet MS" w:cs="Arial"/>
                                    <w:bCs/>
                                    <w:color w:val="auto"/>
                                    <w:kern w:val="24"/>
                                    <w:sz w:val="20"/>
                                    <w:u w:val="none"/>
                                    <w:lang w:val="nl-NL"/>
                                  </w:rPr>
                                  <w:fldChar w:fldCharType="end"/>
                                </w:r>
                                <w:r w:rsidRPr="00606929">
                                  <w:rPr>
                                    <w:rFonts w:ascii="Trebuchet MS" w:hAnsi="Trebuchet MS" w:cs="Arial"/>
                                    <w:kern w:val="24"/>
                                    <w:sz w:val="20"/>
                                    <w:lang w:val="nl-NL"/>
                                  </w:rPr>
                                  <w:t xml:space="preserve">|Twitter: </w:t>
                                </w:r>
                                <w:r w:rsidRPr="00606929">
                                  <w:rPr>
                                    <w:rFonts w:ascii="Trebuchet MS" w:hAnsi="Trebuchet MS" w:cs="Arial"/>
                                    <w:color w:val="000000" w:themeColor="text1"/>
                                    <w:kern w:val="24"/>
                                    <w:sz w:val="20"/>
                                    <w:lang w:val="nl-NL"/>
                                  </w:rPr>
                                  <w:t>@</w:t>
                                </w:r>
                                <w:proofErr w:type="spellStart"/>
                                <w:r w:rsidRPr="00606929">
                                  <w:rPr>
                                    <w:rFonts w:ascii="Trebuchet MS" w:hAnsi="Trebuchet MS" w:cs="Arial"/>
                                    <w:color w:val="000000" w:themeColor="text1"/>
                                    <w:kern w:val="24"/>
                                    <w:sz w:val="20"/>
                                    <w:lang w:val="nl-NL"/>
                                  </w:rPr>
                                  <w:t>bridge_health</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1" o:spid="_x0000_s1028" type="#_x0000_t202" style="position:absolute;left:0;text-align:left;margin-left:-64.05pt;margin-top:687.75pt;width:356.8pt;height: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" filled="f" stroked="f">
                    <v:textbox>
                      <w:txbxContent>
                        <w:p w14:paraId="6BA977D3" w14:textId="77777777" w:rsidR="00427A7C" w:rsidRPr="003E5AF9" w:rsidRDefault="00427A7C" w:rsidP="00E44392">
                          <w:pPr>
                            <w:pStyle w:val="NormalWeb"/>
                            <w:spacing w:before="0" w:beforeAutospacing="0" w:after="240" w:afterAutospacing="0" w:line="276" w:lineRule="auto"/>
                            <w:textAlignment w:val="baseline"/>
                            <w:rPr>
                              <w:rFonts w:ascii="Trebuchet MS" w:hAnsi="Trebuchet MS" w:cs="Arial"/>
                              <w:color w:val="000000" w:themeColor="text1"/>
                              <w:kern w:val="24"/>
                              <w:sz w:val="22"/>
                            </w:rPr>
                          </w:pPr>
                          <w:r w:rsidRPr="003E5AF9">
                            <w:rPr>
                              <w:rFonts w:ascii="Trebuchet MS" w:hAnsi="Trebuchet MS" w:cs="Arial"/>
                              <w:color w:val="000000" w:themeColor="text1"/>
                              <w:kern w:val="24"/>
                              <w:sz w:val="22"/>
                            </w:rPr>
                            <w:t>Petronille Bogaert and Herman Van Oyen for BRIDGE Health</w:t>
                          </w:r>
                        </w:p>
                        <w:p w14:paraId="5F66D642" w14:textId="77777777" w:rsidR="00427A7C" w:rsidRDefault="00427A7C" w:rsidP="00E44392">
                          <w:pPr>
                            <w:pStyle w:val="NormalWeb"/>
                            <w:spacing w:before="0" w:beforeAutospacing="0" w:after="0" w:afterAutospacing="0" w:line="276" w:lineRule="auto"/>
                            <w:textAlignment w:val="baseline"/>
                            <w:rPr>
                              <w:rFonts w:ascii="Trebuchet MS" w:hAnsi="Trebuchet MS" w:cs="Arial"/>
                              <w:color w:val="000000" w:themeColor="text1"/>
                              <w:kern w:val="24"/>
                              <w:sz w:val="20"/>
                              <w:lang w:val="en-GB"/>
                            </w:rPr>
                          </w:pPr>
                          <w:r w:rsidRPr="00A67295">
                            <w:rPr>
                              <w:rFonts w:ascii="Trebuchet MS" w:hAnsi="Trebuchet MS" w:cs="Arial"/>
                              <w:color w:val="000000" w:themeColor="text1"/>
                              <w:kern w:val="24"/>
                              <w:sz w:val="20"/>
                              <w:lang w:val="en-GB"/>
                            </w:rPr>
                            <w:t xml:space="preserve">Scientific Institute of Public Health | Rue Juliette </w:t>
                          </w:r>
                          <w:proofErr w:type="spellStart"/>
                          <w:r w:rsidRPr="00A67295">
                            <w:rPr>
                              <w:rFonts w:ascii="Trebuchet MS" w:hAnsi="Trebuchet MS" w:cs="Arial"/>
                              <w:color w:val="000000" w:themeColor="text1"/>
                              <w:kern w:val="24"/>
                              <w:sz w:val="20"/>
                              <w:lang w:val="en-GB"/>
                            </w:rPr>
                            <w:t>Wytsmanstraat</w:t>
                          </w:r>
                          <w:proofErr w:type="spellEnd"/>
                          <w:r w:rsidRPr="00A67295">
                            <w:rPr>
                              <w:rFonts w:ascii="Trebuchet MS" w:hAnsi="Trebuchet MS" w:cs="Arial"/>
                              <w:color w:val="000000" w:themeColor="text1"/>
                              <w:kern w:val="24"/>
                              <w:sz w:val="20"/>
                              <w:lang w:val="en-GB"/>
                            </w:rPr>
                            <w:t xml:space="preserve"> 14 |</w:t>
                          </w:r>
                        </w:p>
                        <w:p w14:paraId="07367E84" w14:textId="77777777" w:rsidR="00427A7C" w:rsidRPr="00606929" w:rsidRDefault="00427A7C" w:rsidP="00E44392">
                          <w:pPr>
                            <w:pStyle w:val="NormalWeb"/>
                            <w:spacing w:before="0" w:beforeAutospacing="0" w:after="0" w:afterAutospacing="0" w:line="276" w:lineRule="auto"/>
                            <w:textAlignment w:val="baseline"/>
                            <w:rPr>
                              <w:rFonts w:ascii="Trebuchet MS" w:hAnsi="Trebuchet MS" w:cs="Arial"/>
                              <w:kern w:val="24"/>
                              <w:sz w:val="20"/>
                              <w:lang w:val="fr-FR"/>
                            </w:rPr>
                          </w:pPr>
                          <w:r w:rsidRPr="00606929">
                            <w:rPr>
                              <w:rFonts w:ascii="Trebuchet MS" w:hAnsi="Trebuchet MS" w:cs="Arial"/>
                              <w:color w:val="000000" w:themeColor="text1"/>
                              <w:kern w:val="24"/>
                              <w:sz w:val="20"/>
                              <w:lang w:val="fr-FR"/>
                            </w:rPr>
                            <w:t xml:space="preserve">1050 Brussels | </w:t>
                          </w:r>
                          <w:proofErr w:type="spellStart"/>
                          <w:r w:rsidRPr="00606929">
                            <w:rPr>
                              <w:rFonts w:ascii="Trebuchet MS" w:hAnsi="Trebuchet MS" w:cs="Arial"/>
                              <w:color w:val="000000" w:themeColor="text1"/>
                              <w:kern w:val="24"/>
                              <w:sz w:val="20"/>
                              <w:lang w:val="fr-FR"/>
                            </w:rPr>
                            <w:t>Belgium</w:t>
                          </w:r>
                          <w:proofErr w:type="spellEnd"/>
                          <w:r w:rsidRPr="00606929">
                            <w:rPr>
                              <w:rFonts w:ascii="Trebuchet MS" w:hAnsi="Trebuchet MS" w:cs="Arial"/>
                              <w:color w:val="000000" w:themeColor="text1"/>
                              <w:kern w:val="24"/>
                              <w:sz w:val="20"/>
                              <w:lang w:val="fr-FR"/>
                            </w:rPr>
                            <w:t xml:space="preserve">| e-mail: </w:t>
                          </w:r>
                          <w:r w:rsidRPr="00606929">
                            <w:rPr>
                              <w:rFonts w:ascii="Trebuchet MS" w:hAnsi="Trebuchet MS" w:cs="Arial"/>
                              <w:kern w:val="24"/>
                              <w:sz w:val="20"/>
                              <w:lang w:val="fr-FR"/>
                            </w:rPr>
                            <w:t>bridge.coordination@wiv-isp.be|</w:t>
                          </w:r>
                        </w:p>
                        <w:p w14:paraId="50A04DF1" w14:textId="77777777" w:rsidR="00427A7C" w:rsidRPr="00606929" w:rsidRDefault="00427A7C" w:rsidP="00E44392">
                          <w:pPr>
                            <w:pStyle w:val="NormalWeb"/>
                            <w:spacing w:before="0" w:beforeAutospacing="0" w:after="0" w:afterAutospacing="0" w:line="276" w:lineRule="auto"/>
                            <w:textAlignment w:val="baseline"/>
                            <w:rPr>
                              <w:sz w:val="22"/>
                              <w:lang w:val="nl-NL"/>
                            </w:rPr>
                          </w:pPr>
                          <w:r w:rsidRPr="00606929">
                            <w:rPr>
                              <w:rFonts w:ascii="Trebuchet MS" w:hAnsi="Trebuchet MS" w:cs="Arial"/>
                              <w:kern w:val="24"/>
                              <w:sz w:val="20"/>
                              <w:lang w:val="nl-NL"/>
                            </w:rPr>
                            <w:t xml:space="preserve">Website: </w:t>
                          </w:r>
                          <w:hyperlink r:id="rId15" w:history="1">
                            <w:r w:rsidRPr="00606929">
                              <w:rPr>
                                <w:rStyle w:val="Hyperlink"/>
                                <w:rFonts w:ascii="Trebuchet MS" w:hAnsi="Trebuchet MS" w:cs="Arial"/>
                                <w:bCs/>
                                <w:color w:val="auto"/>
                                <w:kern w:val="24"/>
                                <w:sz w:val="20"/>
                                <w:u w:val="none"/>
                                <w:lang w:val="nl-NL"/>
                              </w:rPr>
                              <w:t>www.bridge-health.eu</w:t>
                            </w:r>
                          </w:hyperlink>
                          <w:r w:rsidRPr="00606929">
                            <w:rPr>
                              <w:rFonts w:ascii="Trebuchet MS" w:hAnsi="Trebuchet MS" w:cs="Arial"/>
                              <w:kern w:val="24"/>
                              <w:sz w:val="20"/>
                              <w:lang w:val="nl-NL"/>
                            </w:rPr>
                            <w:t xml:space="preserve">|Twitter: </w:t>
                          </w:r>
                          <w:r w:rsidRPr="00606929">
                            <w:rPr>
                              <w:rFonts w:ascii="Trebuchet MS" w:hAnsi="Trebuchet MS" w:cs="Arial"/>
                              <w:color w:val="000000" w:themeColor="text1"/>
                              <w:kern w:val="24"/>
                              <w:sz w:val="20"/>
                              <w:lang w:val="nl-NL"/>
                            </w:rPr>
                            <w:t>@</w:t>
                          </w:r>
                          <w:proofErr w:type="spellStart"/>
                          <w:r w:rsidRPr="00606929">
                            <w:rPr>
                              <w:rFonts w:ascii="Trebuchet MS" w:hAnsi="Trebuchet MS" w:cs="Arial"/>
                              <w:color w:val="000000" w:themeColor="text1"/>
                              <w:kern w:val="24"/>
                              <w:sz w:val="20"/>
                              <w:lang w:val="nl-NL"/>
                            </w:rPr>
                            <w:t>bridge_health</w:t>
                          </w:r>
                          <w:proofErr w:type="spellEnd"/>
                        </w:p>
                      </w:txbxContent>
                    </v:textbox>
                    <w10:wrap anchory="margin"/>
                  </v:shape>
                </w:pict>
              </mc:Fallback>
            </mc:AlternateContent>
          </w:r>
          <w:r w:rsidR="00F51843" w:rsidRPr="004C7100">
            <w:rPr>
              <w:noProof/>
              <w:lang w:val="en-GB" w:eastAsia="en-GB"/>
            </w:rPr>
            <mc:AlternateContent>
              <mc:Choice Requires="wps">
                <w:drawing>
                  <wp:anchor distT="0" distB="0" distL="114300" distR="114300" simplePos="0" relativeHeight="251701248" behindDoc="0" locked="0" layoutInCell="1" allowOverlap="1" wp14:anchorId="096D811F" wp14:editId="48FF2720">
                    <wp:simplePos x="0" y="0"/>
                    <wp:positionH relativeFrom="margin">
                      <wp:posOffset>4994910</wp:posOffset>
                    </wp:positionH>
                    <wp:positionV relativeFrom="margin">
                      <wp:posOffset>8915400</wp:posOffset>
                    </wp:positionV>
                    <wp:extent cx="1485900" cy="681355"/>
                    <wp:effectExtent l="0" t="0" r="0" b="4445"/>
                    <wp:wrapNone/>
                    <wp:docPr id="11"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35FB" w14:textId="77777777" w:rsidR="00F852C8" w:rsidRPr="00F51843" w:rsidRDefault="00F852C8" w:rsidP="00D749A9">
                                <w:pPr>
                                  <w:pStyle w:val="NormalWeb"/>
                                  <w:spacing w:before="0" w:beforeAutospacing="0" w:after="0" w:afterAutospacing="0"/>
                                  <w:textAlignment w:val="baseline"/>
                                  <w:rPr>
                                    <w:sz w:val="20"/>
                                  </w:rPr>
                                </w:pPr>
                                <w:r w:rsidRPr="00F51843">
                                  <w:rPr>
                                    <w:rFonts w:ascii="Trebuchet MS" w:hAnsi="Trebuchet MS" w:cs="Arial"/>
                                    <w:color w:val="000000" w:themeColor="text1"/>
                                    <w:kern w:val="24"/>
                                    <w:sz w:val="20"/>
                                  </w:rPr>
                                  <w:t xml:space="preserve">This project is funded by the Health </w:t>
                                </w:r>
                                <w:proofErr w:type="spellStart"/>
                                <w:r w:rsidRPr="00F51843">
                                  <w:rPr>
                                    <w:rFonts w:ascii="Trebuchet MS" w:hAnsi="Trebuchet MS" w:cs="Arial"/>
                                    <w:color w:val="000000" w:themeColor="text1"/>
                                    <w:kern w:val="24"/>
                                    <w:sz w:val="20"/>
                                  </w:rPr>
                                  <w:t>Programme</w:t>
                                </w:r>
                                <w:proofErr w:type="spellEnd"/>
                                <w:r w:rsidRPr="00F51843">
                                  <w:rPr>
                                    <w:rFonts w:ascii="Trebuchet MS" w:hAnsi="Trebuchet MS" w:cs="Arial"/>
                                    <w:color w:val="000000" w:themeColor="text1"/>
                                    <w:kern w:val="24"/>
                                    <w:sz w:val="20"/>
                                  </w:rPr>
                                  <w:t xml:space="preserve"> of the European Union</w:t>
                                </w:r>
                              </w:p>
                            </w:txbxContent>
                          </wps:txbx>
                          <wps:bodyPr wrap="square">
                            <a:spAutoFit/>
                          </wps:bodyPr>
                        </wps:wsp>
                      </a:graphicData>
                    </a:graphic>
                    <wp14:sizeRelH relativeFrom="margin">
                      <wp14:pctWidth>0</wp14:pctWidth>
                    </wp14:sizeRelH>
                  </wp:anchor>
                </w:drawing>
              </mc:Choice>
              <mc:Fallback>
                <w:pict>
                  <v:shape id="TextBox 6" o:spid="_x0000_s1029" type="#_x0000_t202" style="position:absolute;left:0;text-align:left;margin-left:393.3pt;margin-top:702pt;width:117pt;height:53.65pt;z-index:25170124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" filled="f" stroked="f">
                    <v:textbox style="mso-fit-shape-to-text:t">
                      <w:txbxContent>
                        <w:p w14:paraId="5AF735FB" w14:textId="77777777" w:rsidR="00427A7C" w:rsidRPr="00F51843" w:rsidRDefault="00427A7C" w:rsidP="00D749A9">
                          <w:pPr>
                            <w:pStyle w:val="NormalWeb"/>
                            <w:spacing w:before="0" w:beforeAutospacing="0" w:after="0" w:afterAutospacing="0"/>
                            <w:textAlignment w:val="baseline"/>
                            <w:rPr>
                              <w:sz w:val="20"/>
                            </w:rPr>
                          </w:pPr>
                          <w:r w:rsidRPr="00F51843">
                            <w:rPr>
                              <w:rFonts w:ascii="Trebuchet MS" w:hAnsi="Trebuchet MS" w:cs="Arial"/>
                              <w:color w:val="000000" w:themeColor="text1"/>
                              <w:kern w:val="24"/>
                              <w:sz w:val="20"/>
                            </w:rPr>
                            <w:t xml:space="preserve">This project is funded by the Health </w:t>
                          </w:r>
                          <w:proofErr w:type="spellStart"/>
                          <w:r w:rsidRPr="00F51843">
                            <w:rPr>
                              <w:rFonts w:ascii="Trebuchet MS" w:hAnsi="Trebuchet MS" w:cs="Arial"/>
                              <w:color w:val="000000" w:themeColor="text1"/>
                              <w:kern w:val="24"/>
                              <w:sz w:val="20"/>
                            </w:rPr>
                            <w:t>Programme</w:t>
                          </w:r>
                          <w:proofErr w:type="spellEnd"/>
                          <w:r w:rsidRPr="00F51843">
                            <w:rPr>
                              <w:rFonts w:ascii="Trebuchet MS" w:hAnsi="Trebuchet MS" w:cs="Arial"/>
                              <w:color w:val="000000" w:themeColor="text1"/>
                              <w:kern w:val="24"/>
                              <w:sz w:val="20"/>
                            </w:rPr>
                            <w:t xml:space="preserve"> of the European Union</w:t>
                          </w:r>
                        </w:p>
                      </w:txbxContent>
                    </v:textbox>
                    <w10:wrap anchorx="margin" anchory="margin"/>
                  </v:shape>
                </w:pict>
              </mc:Fallback>
            </mc:AlternateContent>
          </w:r>
          <w:r w:rsidR="00F51843" w:rsidRPr="004C7100">
            <w:rPr>
              <w:noProof/>
              <w:lang w:val="en-GB" w:eastAsia="en-GB"/>
            </w:rPr>
            <w:drawing>
              <wp:anchor distT="0" distB="0" distL="114300" distR="114300" simplePos="0" relativeHeight="251700224" behindDoc="0" locked="0" layoutInCell="1" allowOverlap="1" wp14:anchorId="7F8CDE8C" wp14:editId="5A429E96">
                <wp:simplePos x="0" y="0"/>
                <wp:positionH relativeFrom="column">
                  <wp:posOffset>4006850</wp:posOffset>
                </wp:positionH>
                <wp:positionV relativeFrom="margin">
                  <wp:posOffset>8916035</wp:posOffset>
                </wp:positionV>
                <wp:extent cx="990600" cy="660400"/>
                <wp:effectExtent l="0" t="0" r="0" b="6350"/>
                <wp:wrapNone/>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660400"/>
                        </a:xfrm>
                        <a:prstGeom prst="rect">
                          <a:avLst/>
                        </a:prstGeom>
                        <a:noFill/>
                        <a:ln>
                          <a:noFill/>
                        </a:ln>
                        <a:extLst/>
                      </pic:spPr>
                    </pic:pic>
                  </a:graphicData>
                </a:graphic>
              </wp:anchor>
            </w:drawing>
          </w:r>
          <w:r w:rsidR="00F51843" w:rsidRPr="004C7100">
            <w:rPr>
              <w:noProof/>
              <w:lang w:val="en-GB" w:eastAsia="en-GB"/>
            </w:rPr>
            <mc:AlternateContent>
              <mc:Choice Requires="wps">
                <w:drawing>
                  <wp:anchor distT="0" distB="0" distL="114300" distR="114300" simplePos="0" relativeHeight="251698176" behindDoc="0" locked="0" layoutInCell="1" allowOverlap="1" wp14:anchorId="48CAD8E7" wp14:editId="28EFEBCA">
                    <wp:simplePos x="0" y="0"/>
                    <wp:positionH relativeFrom="column">
                      <wp:posOffset>1303020</wp:posOffset>
                    </wp:positionH>
                    <wp:positionV relativeFrom="paragraph">
                      <wp:posOffset>4739005</wp:posOffset>
                    </wp:positionV>
                    <wp:extent cx="5309870" cy="180975"/>
                    <wp:effectExtent l="0" t="0" r="5080" b="9525"/>
                    <wp:wrapNone/>
                    <wp:docPr id="12" name="Rectangle 5"/>
                    <wp:cNvGraphicFramePr/>
                    <a:graphic xmlns:a="http://schemas.openxmlformats.org/drawingml/2006/main">
                      <a:graphicData uri="http://schemas.microsoft.com/office/word/2010/wordprocessingShape">
                        <wps:wsp>
                          <wps:cNvSpPr/>
                          <wps:spPr>
                            <a:xfrm>
                              <a:off x="0" y="0"/>
                              <a:ext cx="5309870" cy="180975"/>
                            </a:xfrm>
                            <a:prstGeom prst="rect">
                              <a:avLst/>
                            </a:prstGeom>
                            <a:gradFill flip="none" rotWithShape="1">
                              <a:gsLst>
                                <a:gs pos="0">
                                  <a:srgbClr val="FBE323"/>
                                </a:gs>
                                <a:gs pos="50000">
                                  <a:srgbClr val="90B85D"/>
                                </a:gs>
                                <a:gs pos="100000">
                                  <a:srgbClr val="005CA9"/>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rect id="Rectangle 5" o:spid="_x0000_s1026" style="position:absolute;margin-left:102.6pt;margin-top:373.15pt;width:418.1pt;height:14.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" fillcolor="#fbe323" stroked="f" strokeweight="2pt">
                    <v:fill color2="#005ca9" rotate="t" angle="90" colors="0 #fbe323;.5 #90b85d;1 #005ca9" focus="100%" type="gradient"/>
                  </v:rect>
                </w:pict>
              </mc:Fallback>
            </mc:AlternateContent>
          </w:r>
          <w:r w:rsidR="005C136B" w:rsidRPr="004C7100">
            <w:rPr>
              <w:lang w:val="en-GB"/>
            </w:rPr>
            <w:br w:type="page"/>
          </w:r>
        </w:p>
      </w:sdtContent>
    </w:sdt>
    <w:sdt>
      <w:sdtPr>
        <w:rPr>
          <w:rFonts w:asciiTheme="minorHAnsi" w:eastAsiaTheme="minorHAnsi" w:hAnsiTheme="minorHAnsi" w:cstheme="minorBidi"/>
          <w:b w:val="0"/>
          <w:bCs w:val="0"/>
          <w:color w:val="auto"/>
          <w:sz w:val="22"/>
          <w:szCs w:val="22"/>
          <w:lang w:val="en-GB" w:eastAsia="en-US"/>
        </w:rPr>
        <w:id w:val="1349607494"/>
        <w:docPartObj>
          <w:docPartGallery w:val="Table of Contents"/>
          <w:docPartUnique/>
        </w:docPartObj>
      </w:sdtPr>
      <w:sdtEndPr>
        <w:rPr>
          <w:rFonts w:ascii="Trebuchet MS" w:hAnsi="Trebuchet MS"/>
        </w:rPr>
      </w:sdtEndPr>
      <w:sdtContent>
        <w:p w14:paraId="71BC145A" w14:textId="77777777" w:rsidR="00E96A09" w:rsidRPr="00D87086" w:rsidRDefault="00E96A09" w:rsidP="00FD26A2">
          <w:pPr>
            <w:pStyle w:val="TOCHeading"/>
            <w:spacing w:after="240"/>
            <w:rPr>
              <w:rFonts w:ascii="Trebuchet MS" w:hAnsi="Trebuchet MS"/>
              <w:lang w:val="en-GB"/>
            </w:rPr>
          </w:pPr>
          <w:r w:rsidRPr="00D87086">
            <w:rPr>
              <w:rFonts w:ascii="Trebuchet MS" w:hAnsi="Trebuchet MS"/>
              <w:lang w:val="en-GB"/>
            </w:rPr>
            <w:t>Table of Contents</w:t>
          </w:r>
        </w:p>
        <w:p w14:paraId="5765B728" w14:textId="71F646D4" w:rsidR="002E3DAD" w:rsidRDefault="00E96A09">
          <w:pPr>
            <w:pStyle w:val="TOC1"/>
            <w:tabs>
              <w:tab w:val="left" w:pos="440"/>
              <w:tab w:val="right" w:leader="dot" w:pos="9017"/>
            </w:tabs>
            <w:rPr>
              <w:rFonts w:asciiTheme="minorHAnsi" w:eastAsiaTheme="minorEastAsia" w:hAnsiTheme="minorHAnsi"/>
              <w:noProof/>
              <w:lang w:val="en-GB" w:eastAsia="en-GB"/>
            </w:rPr>
          </w:pPr>
          <w:r w:rsidRPr="00607A46">
            <w:rPr>
              <w:lang w:val="en-GB"/>
            </w:rPr>
            <w:fldChar w:fldCharType="begin"/>
          </w:r>
          <w:r w:rsidRPr="00D87086">
            <w:rPr>
              <w:lang w:val="en-GB"/>
            </w:rPr>
            <w:instrText xml:space="preserve"> TOC \o "1-3" \h \z \u </w:instrText>
          </w:r>
          <w:r w:rsidRPr="00607A46">
            <w:rPr>
              <w:lang w:val="en-GB"/>
            </w:rPr>
            <w:fldChar w:fldCharType="separate"/>
          </w:r>
          <w:hyperlink w:anchor="_Toc469063791" w:history="1">
            <w:r w:rsidR="002E3DAD" w:rsidRPr="00C249F5">
              <w:rPr>
                <w:rStyle w:val="Hyperlink"/>
                <w:noProof/>
              </w:rPr>
              <w:t>I.</w:t>
            </w:r>
            <w:r w:rsidR="002E3DAD">
              <w:rPr>
                <w:rFonts w:asciiTheme="minorHAnsi" w:eastAsiaTheme="minorEastAsia" w:hAnsiTheme="minorHAnsi"/>
                <w:noProof/>
                <w:lang w:val="en-GB" w:eastAsia="en-GB"/>
              </w:rPr>
              <w:tab/>
            </w:r>
            <w:r w:rsidR="002E3DAD" w:rsidRPr="00C249F5">
              <w:rPr>
                <w:rStyle w:val="Hyperlink"/>
                <w:noProof/>
              </w:rPr>
              <w:t>Executive summary</w:t>
            </w:r>
            <w:r w:rsidR="002E3DAD">
              <w:rPr>
                <w:noProof/>
                <w:webHidden/>
              </w:rPr>
              <w:tab/>
            </w:r>
            <w:r w:rsidR="002E3DAD">
              <w:rPr>
                <w:noProof/>
                <w:webHidden/>
              </w:rPr>
              <w:fldChar w:fldCharType="begin"/>
            </w:r>
            <w:r w:rsidR="002E3DAD">
              <w:rPr>
                <w:noProof/>
                <w:webHidden/>
              </w:rPr>
              <w:instrText xml:space="preserve"> PAGEREF _Toc469063791 \h </w:instrText>
            </w:r>
            <w:r w:rsidR="002E3DAD">
              <w:rPr>
                <w:noProof/>
                <w:webHidden/>
              </w:rPr>
            </w:r>
            <w:r w:rsidR="002E3DAD">
              <w:rPr>
                <w:noProof/>
                <w:webHidden/>
              </w:rPr>
              <w:fldChar w:fldCharType="separate"/>
            </w:r>
            <w:r w:rsidR="00D477BF">
              <w:rPr>
                <w:noProof/>
                <w:webHidden/>
              </w:rPr>
              <w:t>2</w:t>
            </w:r>
            <w:r w:rsidR="002E3DAD">
              <w:rPr>
                <w:noProof/>
                <w:webHidden/>
              </w:rPr>
              <w:fldChar w:fldCharType="end"/>
            </w:r>
          </w:hyperlink>
        </w:p>
        <w:p w14:paraId="74305A1C" w14:textId="489B956A" w:rsidR="002E3DAD" w:rsidRDefault="00F852C8">
          <w:pPr>
            <w:pStyle w:val="TOC1"/>
            <w:tabs>
              <w:tab w:val="left" w:pos="440"/>
              <w:tab w:val="right" w:leader="dot" w:pos="9017"/>
            </w:tabs>
            <w:rPr>
              <w:rFonts w:asciiTheme="minorHAnsi" w:eastAsiaTheme="minorEastAsia" w:hAnsiTheme="minorHAnsi"/>
              <w:noProof/>
              <w:lang w:val="en-GB" w:eastAsia="en-GB"/>
            </w:rPr>
          </w:pPr>
          <w:hyperlink w:anchor="_Toc469063792" w:history="1">
            <w:r w:rsidR="002E3DAD" w:rsidRPr="00C249F5">
              <w:rPr>
                <w:rStyle w:val="Hyperlink"/>
                <w:noProof/>
              </w:rPr>
              <w:t>II.</w:t>
            </w:r>
            <w:r w:rsidR="002E3DAD">
              <w:rPr>
                <w:rFonts w:asciiTheme="minorHAnsi" w:eastAsiaTheme="minorEastAsia" w:hAnsiTheme="minorHAnsi"/>
                <w:noProof/>
                <w:lang w:val="en-GB" w:eastAsia="en-GB"/>
              </w:rPr>
              <w:tab/>
            </w:r>
            <w:r w:rsidR="002E3DAD" w:rsidRPr="00C249F5">
              <w:rPr>
                <w:rStyle w:val="Hyperlink"/>
                <w:noProof/>
              </w:rPr>
              <w:t>The current EU health information situation</w:t>
            </w:r>
            <w:r w:rsidR="002E3DAD">
              <w:rPr>
                <w:noProof/>
                <w:webHidden/>
              </w:rPr>
              <w:tab/>
            </w:r>
            <w:r w:rsidR="002E3DAD">
              <w:rPr>
                <w:noProof/>
                <w:webHidden/>
              </w:rPr>
              <w:fldChar w:fldCharType="begin"/>
            </w:r>
            <w:r w:rsidR="002E3DAD">
              <w:rPr>
                <w:noProof/>
                <w:webHidden/>
              </w:rPr>
              <w:instrText xml:space="preserve"> PAGEREF _Toc469063792 \h </w:instrText>
            </w:r>
            <w:r w:rsidR="002E3DAD">
              <w:rPr>
                <w:noProof/>
                <w:webHidden/>
              </w:rPr>
            </w:r>
            <w:r w:rsidR="002E3DAD">
              <w:rPr>
                <w:noProof/>
                <w:webHidden/>
              </w:rPr>
              <w:fldChar w:fldCharType="separate"/>
            </w:r>
            <w:r w:rsidR="00D477BF">
              <w:rPr>
                <w:noProof/>
                <w:webHidden/>
              </w:rPr>
              <w:t>3</w:t>
            </w:r>
            <w:r w:rsidR="002E3DAD">
              <w:rPr>
                <w:noProof/>
                <w:webHidden/>
              </w:rPr>
              <w:fldChar w:fldCharType="end"/>
            </w:r>
          </w:hyperlink>
        </w:p>
        <w:p w14:paraId="7DFDE98A" w14:textId="2EE88219" w:rsidR="002E3DAD" w:rsidRDefault="00F852C8">
          <w:pPr>
            <w:pStyle w:val="TOC1"/>
            <w:tabs>
              <w:tab w:val="left" w:pos="660"/>
              <w:tab w:val="right" w:leader="dot" w:pos="9017"/>
            </w:tabs>
            <w:rPr>
              <w:rFonts w:asciiTheme="minorHAnsi" w:eastAsiaTheme="minorEastAsia" w:hAnsiTheme="minorHAnsi"/>
              <w:noProof/>
              <w:lang w:val="en-GB" w:eastAsia="en-GB"/>
            </w:rPr>
          </w:pPr>
          <w:hyperlink w:anchor="_Toc469063793" w:history="1">
            <w:r w:rsidR="002E3DAD" w:rsidRPr="00C249F5">
              <w:rPr>
                <w:rStyle w:val="Hyperlink"/>
                <w:noProof/>
              </w:rPr>
              <w:t>III.</w:t>
            </w:r>
            <w:r w:rsidR="002E3DAD">
              <w:rPr>
                <w:rFonts w:asciiTheme="minorHAnsi" w:eastAsiaTheme="minorEastAsia" w:hAnsiTheme="minorHAnsi"/>
                <w:noProof/>
                <w:lang w:val="en-GB" w:eastAsia="en-GB"/>
              </w:rPr>
              <w:tab/>
            </w:r>
            <w:r w:rsidR="002E3DAD" w:rsidRPr="00C249F5">
              <w:rPr>
                <w:rStyle w:val="Hyperlink"/>
                <w:noProof/>
              </w:rPr>
              <w:t>An ERIC and the way forward</w:t>
            </w:r>
            <w:r w:rsidR="002E3DAD">
              <w:rPr>
                <w:noProof/>
                <w:webHidden/>
              </w:rPr>
              <w:tab/>
            </w:r>
            <w:r w:rsidR="002E3DAD">
              <w:rPr>
                <w:noProof/>
                <w:webHidden/>
              </w:rPr>
              <w:fldChar w:fldCharType="begin"/>
            </w:r>
            <w:r w:rsidR="002E3DAD">
              <w:rPr>
                <w:noProof/>
                <w:webHidden/>
              </w:rPr>
              <w:instrText xml:space="preserve"> PAGEREF _Toc469063793 \h </w:instrText>
            </w:r>
            <w:r w:rsidR="002E3DAD">
              <w:rPr>
                <w:noProof/>
                <w:webHidden/>
              </w:rPr>
            </w:r>
            <w:r w:rsidR="002E3DAD">
              <w:rPr>
                <w:noProof/>
                <w:webHidden/>
              </w:rPr>
              <w:fldChar w:fldCharType="separate"/>
            </w:r>
            <w:r w:rsidR="00D477BF">
              <w:rPr>
                <w:noProof/>
                <w:webHidden/>
              </w:rPr>
              <w:t>5</w:t>
            </w:r>
            <w:r w:rsidR="002E3DAD">
              <w:rPr>
                <w:noProof/>
                <w:webHidden/>
              </w:rPr>
              <w:fldChar w:fldCharType="end"/>
            </w:r>
          </w:hyperlink>
        </w:p>
        <w:p w14:paraId="10F55FA0" w14:textId="5C84DA15" w:rsidR="002E3DAD" w:rsidRDefault="00F852C8">
          <w:pPr>
            <w:pStyle w:val="TOC2"/>
            <w:tabs>
              <w:tab w:val="left" w:pos="660"/>
              <w:tab w:val="right" w:leader="dot" w:pos="9017"/>
            </w:tabs>
            <w:rPr>
              <w:rFonts w:asciiTheme="minorHAnsi" w:eastAsiaTheme="minorEastAsia" w:hAnsiTheme="minorHAnsi"/>
              <w:noProof/>
              <w:lang w:val="en-GB" w:eastAsia="en-GB"/>
            </w:rPr>
          </w:pPr>
          <w:hyperlink w:anchor="_Toc469063794" w:history="1">
            <w:r w:rsidR="002E3DAD" w:rsidRPr="00C249F5">
              <w:rPr>
                <w:rStyle w:val="Hyperlink"/>
                <w:noProof/>
                <w:lang w:val="en-GB"/>
              </w:rPr>
              <w:t>A.</w:t>
            </w:r>
            <w:r w:rsidR="002E3DAD">
              <w:rPr>
                <w:rFonts w:asciiTheme="minorHAnsi" w:eastAsiaTheme="minorEastAsia" w:hAnsiTheme="minorHAnsi"/>
                <w:noProof/>
                <w:lang w:val="en-GB" w:eastAsia="en-GB"/>
              </w:rPr>
              <w:tab/>
            </w:r>
            <w:r w:rsidR="002E3DAD" w:rsidRPr="00C249F5">
              <w:rPr>
                <w:rStyle w:val="Hyperlink"/>
                <w:noProof/>
                <w:lang w:val="en-GB"/>
              </w:rPr>
              <w:t>Mission</w:t>
            </w:r>
            <w:r w:rsidR="002E3DAD">
              <w:rPr>
                <w:noProof/>
                <w:webHidden/>
              </w:rPr>
              <w:tab/>
            </w:r>
            <w:r w:rsidR="002E3DAD">
              <w:rPr>
                <w:noProof/>
                <w:webHidden/>
              </w:rPr>
              <w:fldChar w:fldCharType="begin"/>
            </w:r>
            <w:r w:rsidR="002E3DAD">
              <w:rPr>
                <w:noProof/>
                <w:webHidden/>
              </w:rPr>
              <w:instrText xml:space="preserve"> PAGEREF _Toc469063794 \h </w:instrText>
            </w:r>
            <w:r w:rsidR="002E3DAD">
              <w:rPr>
                <w:noProof/>
                <w:webHidden/>
              </w:rPr>
            </w:r>
            <w:r w:rsidR="002E3DAD">
              <w:rPr>
                <w:noProof/>
                <w:webHidden/>
              </w:rPr>
              <w:fldChar w:fldCharType="separate"/>
            </w:r>
            <w:r w:rsidR="00D477BF">
              <w:rPr>
                <w:noProof/>
                <w:webHidden/>
              </w:rPr>
              <w:t>5</w:t>
            </w:r>
            <w:r w:rsidR="002E3DAD">
              <w:rPr>
                <w:noProof/>
                <w:webHidden/>
              </w:rPr>
              <w:fldChar w:fldCharType="end"/>
            </w:r>
          </w:hyperlink>
        </w:p>
        <w:p w14:paraId="306246C8" w14:textId="737553E4" w:rsidR="002E3DAD" w:rsidRDefault="00F852C8">
          <w:pPr>
            <w:pStyle w:val="TOC2"/>
            <w:tabs>
              <w:tab w:val="left" w:pos="660"/>
              <w:tab w:val="right" w:leader="dot" w:pos="9017"/>
            </w:tabs>
            <w:rPr>
              <w:rFonts w:asciiTheme="minorHAnsi" w:eastAsiaTheme="minorEastAsia" w:hAnsiTheme="minorHAnsi"/>
              <w:noProof/>
              <w:lang w:val="en-GB" w:eastAsia="en-GB"/>
            </w:rPr>
          </w:pPr>
          <w:hyperlink w:anchor="_Toc469063795" w:history="1">
            <w:r w:rsidR="002E3DAD" w:rsidRPr="00C249F5">
              <w:rPr>
                <w:rStyle w:val="Hyperlink"/>
                <w:noProof/>
                <w:lang w:val="en-GB"/>
              </w:rPr>
              <w:t>B.</w:t>
            </w:r>
            <w:r w:rsidR="002E3DAD">
              <w:rPr>
                <w:rFonts w:asciiTheme="minorHAnsi" w:eastAsiaTheme="minorEastAsia" w:hAnsiTheme="minorHAnsi"/>
                <w:noProof/>
                <w:lang w:val="en-GB" w:eastAsia="en-GB"/>
              </w:rPr>
              <w:tab/>
            </w:r>
            <w:r w:rsidR="002E3DAD" w:rsidRPr="00C249F5">
              <w:rPr>
                <w:rStyle w:val="Hyperlink"/>
                <w:noProof/>
                <w:lang w:val="en-GB"/>
              </w:rPr>
              <w:t>Vision</w:t>
            </w:r>
            <w:r w:rsidR="002E3DAD">
              <w:rPr>
                <w:noProof/>
                <w:webHidden/>
              </w:rPr>
              <w:tab/>
            </w:r>
            <w:r w:rsidR="002E3DAD">
              <w:rPr>
                <w:noProof/>
                <w:webHidden/>
              </w:rPr>
              <w:fldChar w:fldCharType="begin"/>
            </w:r>
            <w:r w:rsidR="002E3DAD">
              <w:rPr>
                <w:noProof/>
                <w:webHidden/>
              </w:rPr>
              <w:instrText xml:space="preserve"> PAGEREF _Toc469063795 \h </w:instrText>
            </w:r>
            <w:r w:rsidR="002E3DAD">
              <w:rPr>
                <w:noProof/>
                <w:webHidden/>
              </w:rPr>
            </w:r>
            <w:r w:rsidR="002E3DAD">
              <w:rPr>
                <w:noProof/>
                <w:webHidden/>
              </w:rPr>
              <w:fldChar w:fldCharType="separate"/>
            </w:r>
            <w:r w:rsidR="00D477BF">
              <w:rPr>
                <w:noProof/>
                <w:webHidden/>
              </w:rPr>
              <w:t>5</w:t>
            </w:r>
            <w:r w:rsidR="002E3DAD">
              <w:rPr>
                <w:noProof/>
                <w:webHidden/>
              </w:rPr>
              <w:fldChar w:fldCharType="end"/>
            </w:r>
          </w:hyperlink>
        </w:p>
        <w:p w14:paraId="45422F56" w14:textId="4E7C7AF2" w:rsidR="002E3DAD" w:rsidRDefault="00F852C8">
          <w:pPr>
            <w:pStyle w:val="TOC2"/>
            <w:tabs>
              <w:tab w:val="left" w:pos="660"/>
              <w:tab w:val="right" w:leader="dot" w:pos="9017"/>
            </w:tabs>
            <w:rPr>
              <w:rFonts w:asciiTheme="minorHAnsi" w:eastAsiaTheme="minorEastAsia" w:hAnsiTheme="minorHAnsi"/>
              <w:noProof/>
              <w:lang w:val="en-GB" w:eastAsia="en-GB"/>
            </w:rPr>
          </w:pPr>
          <w:hyperlink w:anchor="_Toc469063796" w:history="1">
            <w:r w:rsidR="002E3DAD" w:rsidRPr="00C249F5">
              <w:rPr>
                <w:rStyle w:val="Hyperlink"/>
                <w:noProof/>
                <w:lang w:val="en-GB"/>
              </w:rPr>
              <w:t>C.</w:t>
            </w:r>
            <w:r w:rsidR="002E3DAD">
              <w:rPr>
                <w:rFonts w:asciiTheme="minorHAnsi" w:eastAsiaTheme="minorEastAsia" w:hAnsiTheme="minorHAnsi"/>
                <w:noProof/>
                <w:lang w:val="en-GB" w:eastAsia="en-GB"/>
              </w:rPr>
              <w:tab/>
            </w:r>
            <w:r w:rsidR="002E3DAD" w:rsidRPr="00C249F5">
              <w:rPr>
                <w:rStyle w:val="Hyperlink"/>
                <w:noProof/>
                <w:lang w:val="en-GB"/>
              </w:rPr>
              <w:t>Goals</w:t>
            </w:r>
            <w:r w:rsidR="002E3DAD">
              <w:rPr>
                <w:noProof/>
                <w:webHidden/>
              </w:rPr>
              <w:tab/>
            </w:r>
            <w:r w:rsidR="002E3DAD">
              <w:rPr>
                <w:noProof/>
                <w:webHidden/>
              </w:rPr>
              <w:fldChar w:fldCharType="begin"/>
            </w:r>
            <w:r w:rsidR="002E3DAD">
              <w:rPr>
                <w:noProof/>
                <w:webHidden/>
              </w:rPr>
              <w:instrText xml:space="preserve"> PAGEREF _Toc469063796 \h </w:instrText>
            </w:r>
            <w:r w:rsidR="002E3DAD">
              <w:rPr>
                <w:noProof/>
                <w:webHidden/>
              </w:rPr>
            </w:r>
            <w:r w:rsidR="002E3DAD">
              <w:rPr>
                <w:noProof/>
                <w:webHidden/>
              </w:rPr>
              <w:fldChar w:fldCharType="separate"/>
            </w:r>
            <w:r w:rsidR="00D477BF">
              <w:rPr>
                <w:noProof/>
                <w:webHidden/>
              </w:rPr>
              <w:t>5</w:t>
            </w:r>
            <w:r w:rsidR="002E3DAD">
              <w:rPr>
                <w:noProof/>
                <w:webHidden/>
              </w:rPr>
              <w:fldChar w:fldCharType="end"/>
            </w:r>
          </w:hyperlink>
        </w:p>
        <w:p w14:paraId="171ED76D" w14:textId="458E5BE2" w:rsidR="002E3DAD" w:rsidRDefault="00F852C8">
          <w:pPr>
            <w:pStyle w:val="TOC2"/>
            <w:tabs>
              <w:tab w:val="left" w:pos="660"/>
              <w:tab w:val="right" w:leader="dot" w:pos="9017"/>
            </w:tabs>
            <w:rPr>
              <w:rFonts w:asciiTheme="minorHAnsi" w:eastAsiaTheme="minorEastAsia" w:hAnsiTheme="minorHAnsi"/>
              <w:noProof/>
              <w:lang w:val="en-GB" w:eastAsia="en-GB"/>
            </w:rPr>
          </w:pPr>
          <w:hyperlink w:anchor="_Toc469063797" w:history="1">
            <w:r w:rsidR="002E3DAD" w:rsidRPr="00C249F5">
              <w:rPr>
                <w:rStyle w:val="Hyperlink"/>
                <w:noProof/>
                <w:lang w:val="en-GB"/>
              </w:rPr>
              <w:t>D.</w:t>
            </w:r>
            <w:r w:rsidR="002E3DAD">
              <w:rPr>
                <w:rFonts w:asciiTheme="minorHAnsi" w:eastAsiaTheme="minorEastAsia" w:hAnsiTheme="minorHAnsi"/>
                <w:noProof/>
                <w:lang w:val="en-GB" w:eastAsia="en-GB"/>
              </w:rPr>
              <w:tab/>
            </w:r>
            <w:r w:rsidR="002E3DAD" w:rsidRPr="00C249F5">
              <w:rPr>
                <w:rStyle w:val="Hyperlink"/>
                <w:noProof/>
                <w:lang w:val="en-GB"/>
              </w:rPr>
              <w:t>Services and tasks provided by the HIREP-ERIC</w:t>
            </w:r>
            <w:r w:rsidR="002E3DAD">
              <w:rPr>
                <w:noProof/>
                <w:webHidden/>
              </w:rPr>
              <w:tab/>
            </w:r>
            <w:r w:rsidR="002E3DAD">
              <w:rPr>
                <w:noProof/>
                <w:webHidden/>
              </w:rPr>
              <w:fldChar w:fldCharType="begin"/>
            </w:r>
            <w:r w:rsidR="002E3DAD">
              <w:rPr>
                <w:noProof/>
                <w:webHidden/>
              </w:rPr>
              <w:instrText xml:space="preserve"> PAGEREF _Toc469063797 \h </w:instrText>
            </w:r>
            <w:r w:rsidR="002E3DAD">
              <w:rPr>
                <w:noProof/>
                <w:webHidden/>
              </w:rPr>
            </w:r>
            <w:r w:rsidR="002E3DAD">
              <w:rPr>
                <w:noProof/>
                <w:webHidden/>
              </w:rPr>
              <w:fldChar w:fldCharType="separate"/>
            </w:r>
            <w:r w:rsidR="00D477BF">
              <w:rPr>
                <w:noProof/>
                <w:webHidden/>
              </w:rPr>
              <w:t>6</w:t>
            </w:r>
            <w:r w:rsidR="002E3DAD">
              <w:rPr>
                <w:noProof/>
                <w:webHidden/>
              </w:rPr>
              <w:fldChar w:fldCharType="end"/>
            </w:r>
          </w:hyperlink>
        </w:p>
        <w:p w14:paraId="153B3AA1" w14:textId="22E6356E" w:rsidR="002E3DAD" w:rsidRDefault="00F852C8">
          <w:pPr>
            <w:pStyle w:val="TOC3"/>
            <w:tabs>
              <w:tab w:val="left" w:pos="880"/>
              <w:tab w:val="right" w:leader="dot" w:pos="9017"/>
            </w:tabs>
            <w:rPr>
              <w:rFonts w:asciiTheme="minorHAnsi" w:eastAsiaTheme="minorEastAsia" w:hAnsiTheme="minorHAnsi"/>
              <w:noProof/>
              <w:lang w:val="en-GB" w:eastAsia="en-GB"/>
            </w:rPr>
          </w:pPr>
          <w:hyperlink w:anchor="_Toc469063798" w:history="1">
            <w:r w:rsidR="002E3DAD" w:rsidRPr="00C249F5">
              <w:rPr>
                <w:rStyle w:val="Hyperlink"/>
                <w:noProof/>
                <w:lang w:val="en-GB"/>
              </w:rPr>
              <w:t>1.</w:t>
            </w:r>
            <w:r w:rsidR="002E3DAD">
              <w:rPr>
                <w:rFonts w:asciiTheme="minorHAnsi" w:eastAsiaTheme="minorEastAsia" w:hAnsiTheme="minorHAnsi"/>
                <w:noProof/>
                <w:lang w:val="en-GB" w:eastAsia="en-GB"/>
              </w:rPr>
              <w:tab/>
            </w:r>
            <w:r w:rsidR="002E3DAD" w:rsidRPr="00C249F5">
              <w:rPr>
                <w:rStyle w:val="Hyperlink"/>
                <w:noProof/>
                <w:lang w:val="en-GB"/>
              </w:rPr>
              <w:t>Generating knowledge: health data and indicators</w:t>
            </w:r>
            <w:r w:rsidR="002E3DAD">
              <w:rPr>
                <w:noProof/>
                <w:webHidden/>
              </w:rPr>
              <w:tab/>
            </w:r>
            <w:r w:rsidR="002E3DAD">
              <w:rPr>
                <w:noProof/>
                <w:webHidden/>
              </w:rPr>
              <w:fldChar w:fldCharType="begin"/>
            </w:r>
            <w:r w:rsidR="002E3DAD">
              <w:rPr>
                <w:noProof/>
                <w:webHidden/>
              </w:rPr>
              <w:instrText xml:space="preserve"> PAGEREF _Toc469063798 \h </w:instrText>
            </w:r>
            <w:r w:rsidR="002E3DAD">
              <w:rPr>
                <w:noProof/>
                <w:webHidden/>
              </w:rPr>
            </w:r>
            <w:r w:rsidR="002E3DAD">
              <w:rPr>
                <w:noProof/>
                <w:webHidden/>
              </w:rPr>
              <w:fldChar w:fldCharType="separate"/>
            </w:r>
            <w:r w:rsidR="00D477BF">
              <w:rPr>
                <w:noProof/>
                <w:webHidden/>
              </w:rPr>
              <w:t>6</w:t>
            </w:r>
            <w:r w:rsidR="002E3DAD">
              <w:rPr>
                <w:noProof/>
                <w:webHidden/>
              </w:rPr>
              <w:fldChar w:fldCharType="end"/>
            </w:r>
          </w:hyperlink>
        </w:p>
        <w:p w14:paraId="1C44F7A6" w14:textId="2A29709F" w:rsidR="002E3DAD" w:rsidRDefault="00F852C8">
          <w:pPr>
            <w:pStyle w:val="TOC3"/>
            <w:tabs>
              <w:tab w:val="left" w:pos="880"/>
              <w:tab w:val="right" w:leader="dot" w:pos="9017"/>
            </w:tabs>
            <w:rPr>
              <w:rFonts w:asciiTheme="minorHAnsi" w:eastAsiaTheme="minorEastAsia" w:hAnsiTheme="minorHAnsi"/>
              <w:noProof/>
              <w:lang w:val="en-GB" w:eastAsia="en-GB"/>
            </w:rPr>
          </w:pPr>
          <w:hyperlink w:anchor="_Toc469063799" w:history="1">
            <w:r w:rsidR="002E3DAD" w:rsidRPr="00C249F5">
              <w:rPr>
                <w:rStyle w:val="Hyperlink"/>
                <w:noProof/>
                <w:lang w:val="en-GB"/>
              </w:rPr>
              <w:t>2.</w:t>
            </w:r>
            <w:r w:rsidR="002E3DAD">
              <w:rPr>
                <w:rFonts w:asciiTheme="minorHAnsi" w:eastAsiaTheme="minorEastAsia" w:hAnsiTheme="minorHAnsi"/>
                <w:noProof/>
                <w:lang w:val="en-GB" w:eastAsia="en-GB"/>
              </w:rPr>
              <w:tab/>
            </w:r>
            <w:r w:rsidR="002E3DAD" w:rsidRPr="00C249F5">
              <w:rPr>
                <w:rStyle w:val="Hyperlink"/>
                <w:noProof/>
                <w:lang w:val="en-GB"/>
              </w:rPr>
              <w:t>Knowledge management centre</w:t>
            </w:r>
            <w:r w:rsidR="002E3DAD">
              <w:rPr>
                <w:noProof/>
                <w:webHidden/>
              </w:rPr>
              <w:tab/>
            </w:r>
            <w:r w:rsidR="002E3DAD">
              <w:rPr>
                <w:noProof/>
                <w:webHidden/>
              </w:rPr>
              <w:fldChar w:fldCharType="begin"/>
            </w:r>
            <w:r w:rsidR="002E3DAD">
              <w:rPr>
                <w:noProof/>
                <w:webHidden/>
              </w:rPr>
              <w:instrText xml:space="preserve"> PAGEREF _Toc469063799 \h </w:instrText>
            </w:r>
            <w:r w:rsidR="002E3DAD">
              <w:rPr>
                <w:noProof/>
                <w:webHidden/>
              </w:rPr>
            </w:r>
            <w:r w:rsidR="002E3DAD">
              <w:rPr>
                <w:noProof/>
                <w:webHidden/>
              </w:rPr>
              <w:fldChar w:fldCharType="separate"/>
            </w:r>
            <w:r w:rsidR="00D477BF">
              <w:rPr>
                <w:noProof/>
                <w:webHidden/>
              </w:rPr>
              <w:t>7</w:t>
            </w:r>
            <w:r w:rsidR="002E3DAD">
              <w:rPr>
                <w:noProof/>
                <w:webHidden/>
              </w:rPr>
              <w:fldChar w:fldCharType="end"/>
            </w:r>
          </w:hyperlink>
        </w:p>
        <w:p w14:paraId="1CDD67E2" w14:textId="7F23A17B" w:rsidR="002E3DAD" w:rsidRDefault="00F852C8">
          <w:pPr>
            <w:pStyle w:val="TOC3"/>
            <w:tabs>
              <w:tab w:val="left" w:pos="880"/>
              <w:tab w:val="right" w:leader="dot" w:pos="9017"/>
            </w:tabs>
            <w:rPr>
              <w:rFonts w:asciiTheme="minorHAnsi" w:eastAsiaTheme="minorEastAsia" w:hAnsiTheme="minorHAnsi"/>
              <w:noProof/>
              <w:lang w:val="en-GB" w:eastAsia="en-GB"/>
            </w:rPr>
          </w:pPr>
          <w:hyperlink w:anchor="_Toc469063800" w:history="1">
            <w:r w:rsidR="002E3DAD" w:rsidRPr="00C249F5">
              <w:rPr>
                <w:rStyle w:val="Hyperlink"/>
                <w:noProof/>
                <w:lang w:val="en-GB"/>
              </w:rPr>
              <w:t>3.</w:t>
            </w:r>
            <w:r w:rsidR="002E3DAD">
              <w:rPr>
                <w:rFonts w:asciiTheme="minorHAnsi" w:eastAsiaTheme="minorEastAsia" w:hAnsiTheme="minorHAnsi"/>
                <w:noProof/>
                <w:lang w:val="en-GB" w:eastAsia="en-GB"/>
              </w:rPr>
              <w:tab/>
            </w:r>
            <w:r w:rsidR="002E3DAD" w:rsidRPr="00C249F5">
              <w:rPr>
                <w:rStyle w:val="Hyperlink"/>
                <w:noProof/>
                <w:lang w:val="en-GB"/>
              </w:rPr>
              <w:t>Knowledge exchange and transfer for policy and decision-making,</w:t>
            </w:r>
            <w:r w:rsidR="002E3DAD">
              <w:rPr>
                <w:noProof/>
                <w:webHidden/>
              </w:rPr>
              <w:tab/>
            </w:r>
            <w:r w:rsidR="002E3DAD">
              <w:rPr>
                <w:noProof/>
                <w:webHidden/>
              </w:rPr>
              <w:fldChar w:fldCharType="begin"/>
            </w:r>
            <w:r w:rsidR="002E3DAD">
              <w:rPr>
                <w:noProof/>
                <w:webHidden/>
              </w:rPr>
              <w:instrText xml:space="preserve"> PAGEREF _Toc469063800 \h </w:instrText>
            </w:r>
            <w:r w:rsidR="002E3DAD">
              <w:rPr>
                <w:noProof/>
                <w:webHidden/>
              </w:rPr>
            </w:r>
            <w:r w:rsidR="002E3DAD">
              <w:rPr>
                <w:noProof/>
                <w:webHidden/>
              </w:rPr>
              <w:fldChar w:fldCharType="separate"/>
            </w:r>
            <w:r w:rsidR="00D477BF">
              <w:rPr>
                <w:noProof/>
                <w:webHidden/>
              </w:rPr>
              <w:t>8</w:t>
            </w:r>
            <w:r w:rsidR="002E3DAD">
              <w:rPr>
                <w:noProof/>
                <w:webHidden/>
              </w:rPr>
              <w:fldChar w:fldCharType="end"/>
            </w:r>
          </w:hyperlink>
        </w:p>
        <w:p w14:paraId="74E71500" w14:textId="3009C091" w:rsidR="002E3DAD" w:rsidRDefault="00F852C8">
          <w:pPr>
            <w:pStyle w:val="TOC3"/>
            <w:tabs>
              <w:tab w:val="left" w:pos="880"/>
              <w:tab w:val="right" w:leader="dot" w:pos="9017"/>
            </w:tabs>
            <w:rPr>
              <w:rFonts w:asciiTheme="minorHAnsi" w:eastAsiaTheme="minorEastAsia" w:hAnsiTheme="minorHAnsi"/>
              <w:noProof/>
              <w:lang w:val="en-GB" w:eastAsia="en-GB"/>
            </w:rPr>
          </w:pPr>
          <w:hyperlink w:anchor="_Toc469063801" w:history="1">
            <w:r w:rsidR="002E3DAD" w:rsidRPr="00C249F5">
              <w:rPr>
                <w:rStyle w:val="Hyperlink"/>
                <w:noProof/>
                <w:lang w:val="en-GB"/>
              </w:rPr>
              <w:t>4.</w:t>
            </w:r>
            <w:r w:rsidR="002E3DAD">
              <w:rPr>
                <w:rFonts w:asciiTheme="minorHAnsi" w:eastAsiaTheme="minorEastAsia" w:hAnsiTheme="minorHAnsi"/>
                <w:noProof/>
                <w:lang w:val="en-GB" w:eastAsia="en-GB"/>
              </w:rPr>
              <w:tab/>
            </w:r>
            <w:r w:rsidR="002E3DAD" w:rsidRPr="00C249F5">
              <w:rPr>
                <w:rStyle w:val="Hyperlink"/>
                <w:noProof/>
                <w:lang w:val="en-GB"/>
              </w:rPr>
              <w:t>Planning health information strategies</w:t>
            </w:r>
            <w:r w:rsidR="002E3DAD">
              <w:rPr>
                <w:noProof/>
                <w:webHidden/>
              </w:rPr>
              <w:tab/>
            </w:r>
            <w:r w:rsidR="002E3DAD">
              <w:rPr>
                <w:noProof/>
                <w:webHidden/>
              </w:rPr>
              <w:fldChar w:fldCharType="begin"/>
            </w:r>
            <w:r w:rsidR="002E3DAD">
              <w:rPr>
                <w:noProof/>
                <w:webHidden/>
              </w:rPr>
              <w:instrText xml:space="preserve"> PAGEREF _Toc469063801 \h </w:instrText>
            </w:r>
            <w:r w:rsidR="002E3DAD">
              <w:rPr>
                <w:noProof/>
                <w:webHidden/>
              </w:rPr>
            </w:r>
            <w:r w:rsidR="002E3DAD">
              <w:rPr>
                <w:noProof/>
                <w:webHidden/>
              </w:rPr>
              <w:fldChar w:fldCharType="separate"/>
            </w:r>
            <w:r w:rsidR="00D477BF">
              <w:rPr>
                <w:noProof/>
                <w:webHidden/>
              </w:rPr>
              <w:t>10</w:t>
            </w:r>
            <w:r w:rsidR="002E3DAD">
              <w:rPr>
                <w:noProof/>
                <w:webHidden/>
              </w:rPr>
              <w:fldChar w:fldCharType="end"/>
            </w:r>
          </w:hyperlink>
        </w:p>
        <w:p w14:paraId="601DA147" w14:textId="1CA02A0C" w:rsidR="002E3DAD" w:rsidRDefault="00F852C8">
          <w:pPr>
            <w:pStyle w:val="TOC3"/>
            <w:tabs>
              <w:tab w:val="left" w:pos="880"/>
              <w:tab w:val="right" w:leader="dot" w:pos="9017"/>
            </w:tabs>
            <w:rPr>
              <w:rFonts w:asciiTheme="minorHAnsi" w:eastAsiaTheme="minorEastAsia" w:hAnsiTheme="minorHAnsi"/>
              <w:noProof/>
              <w:lang w:val="en-GB" w:eastAsia="en-GB"/>
            </w:rPr>
          </w:pPr>
          <w:hyperlink w:anchor="_Toc469063802" w:history="1">
            <w:r w:rsidR="002E3DAD" w:rsidRPr="00C249F5">
              <w:rPr>
                <w:rStyle w:val="Hyperlink"/>
                <w:noProof/>
                <w:lang w:val="en-GB"/>
              </w:rPr>
              <w:t>5.</w:t>
            </w:r>
            <w:r w:rsidR="002E3DAD">
              <w:rPr>
                <w:rFonts w:asciiTheme="minorHAnsi" w:eastAsiaTheme="minorEastAsia" w:hAnsiTheme="minorHAnsi"/>
                <w:noProof/>
                <w:lang w:val="en-GB" w:eastAsia="en-GB"/>
              </w:rPr>
              <w:tab/>
            </w:r>
            <w:r w:rsidR="002E3DAD" w:rsidRPr="00C249F5">
              <w:rPr>
                <w:rStyle w:val="Hyperlink"/>
                <w:noProof/>
                <w:lang w:val="en-GB"/>
              </w:rPr>
              <w:t>Liaise with regional, national, European and international organisations</w:t>
            </w:r>
            <w:r w:rsidR="002E3DAD">
              <w:rPr>
                <w:noProof/>
                <w:webHidden/>
              </w:rPr>
              <w:tab/>
            </w:r>
            <w:r w:rsidR="002E3DAD">
              <w:rPr>
                <w:noProof/>
                <w:webHidden/>
              </w:rPr>
              <w:fldChar w:fldCharType="begin"/>
            </w:r>
            <w:r w:rsidR="002E3DAD">
              <w:rPr>
                <w:noProof/>
                <w:webHidden/>
              </w:rPr>
              <w:instrText xml:space="preserve"> PAGEREF _Toc469063802 \h </w:instrText>
            </w:r>
            <w:r w:rsidR="002E3DAD">
              <w:rPr>
                <w:noProof/>
                <w:webHidden/>
              </w:rPr>
            </w:r>
            <w:r w:rsidR="002E3DAD">
              <w:rPr>
                <w:noProof/>
                <w:webHidden/>
              </w:rPr>
              <w:fldChar w:fldCharType="separate"/>
            </w:r>
            <w:r w:rsidR="00D477BF">
              <w:rPr>
                <w:noProof/>
                <w:webHidden/>
              </w:rPr>
              <w:t>10</w:t>
            </w:r>
            <w:r w:rsidR="002E3DAD">
              <w:rPr>
                <w:noProof/>
                <w:webHidden/>
              </w:rPr>
              <w:fldChar w:fldCharType="end"/>
            </w:r>
          </w:hyperlink>
        </w:p>
        <w:p w14:paraId="6BC0F96E" w14:textId="75337C47" w:rsidR="002E3DAD" w:rsidRDefault="00F852C8">
          <w:pPr>
            <w:pStyle w:val="TOC2"/>
            <w:tabs>
              <w:tab w:val="left" w:pos="660"/>
              <w:tab w:val="right" w:leader="dot" w:pos="9017"/>
            </w:tabs>
            <w:rPr>
              <w:rFonts w:asciiTheme="minorHAnsi" w:eastAsiaTheme="minorEastAsia" w:hAnsiTheme="minorHAnsi"/>
              <w:noProof/>
              <w:lang w:val="en-GB" w:eastAsia="en-GB"/>
            </w:rPr>
          </w:pPr>
          <w:hyperlink w:anchor="_Toc469063803" w:history="1">
            <w:r w:rsidR="002E3DAD" w:rsidRPr="00C249F5">
              <w:rPr>
                <w:rStyle w:val="Hyperlink"/>
                <w:noProof/>
                <w:lang w:val="en-GB"/>
              </w:rPr>
              <w:t>E.</w:t>
            </w:r>
            <w:r w:rsidR="002E3DAD">
              <w:rPr>
                <w:rFonts w:asciiTheme="minorHAnsi" w:eastAsiaTheme="minorEastAsia" w:hAnsiTheme="minorHAnsi"/>
                <w:noProof/>
                <w:lang w:val="en-GB" w:eastAsia="en-GB"/>
              </w:rPr>
              <w:tab/>
            </w:r>
            <w:r w:rsidR="002E3DAD" w:rsidRPr="00C249F5">
              <w:rPr>
                <w:rStyle w:val="Hyperlink"/>
                <w:noProof/>
                <w:lang w:val="en-GB"/>
              </w:rPr>
              <w:t>Phased approach</w:t>
            </w:r>
            <w:r w:rsidR="002E3DAD">
              <w:rPr>
                <w:noProof/>
                <w:webHidden/>
              </w:rPr>
              <w:tab/>
            </w:r>
            <w:r w:rsidR="002E3DAD">
              <w:rPr>
                <w:noProof/>
                <w:webHidden/>
              </w:rPr>
              <w:fldChar w:fldCharType="begin"/>
            </w:r>
            <w:r w:rsidR="002E3DAD">
              <w:rPr>
                <w:noProof/>
                <w:webHidden/>
              </w:rPr>
              <w:instrText xml:space="preserve"> PAGEREF _Toc469063803 \h </w:instrText>
            </w:r>
            <w:r w:rsidR="002E3DAD">
              <w:rPr>
                <w:noProof/>
                <w:webHidden/>
              </w:rPr>
            </w:r>
            <w:r w:rsidR="002E3DAD">
              <w:rPr>
                <w:noProof/>
                <w:webHidden/>
              </w:rPr>
              <w:fldChar w:fldCharType="separate"/>
            </w:r>
            <w:r w:rsidR="00D477BF">
              <w:rPr>
                <w:noProof/>
                <w:webHidden/>
              </w:rPr>
              <w:t>11</w:t>
            </w:r>
            <w:r w:rsidR="002E3DAD">
              <w:rPr>
                <w:noProof/>
                <w:webHidden/>
              </w:rPr>
              <w:fldChar w:fldCharType="end"/>
            </w:r>
          </w:hyperlink>
        </w:p>
        <w:p w14:paraId="652DEC97" w14:textId="2DB5BE95" w:rsidR="002E3DAD" w:rsidRDefault="00F852C8">
          <w:pPr>
            <w:pStyle w:val="TOC2"/>
            <w:tabs>
              <w:tab w:val="left" w:pos="660"/>
              <w:tab w:val="right" w:leader="dot" w:pos="9017"/>
            </w:tabs>
            <w:rPr>
              <w:rFonts w:asciiTheme="minorHAnsi" w:eastAsiaTheme="minorEastAsia" w:hAnsiTheme="minorHAnsi"/>
              <w:noProof/>
              <w:lang w:val="en-GB" w:eastAsia="en-GB"/>
            </w:rPr>
          </w:pPr>
          <w:hyperlink w:anchor="_Toc469063804" w:history="1">
            <w:r w:rsidR="002E3DAD" w:rsidRPr="00C249F5">
              <w:rPr>
                <w:rStyle w:val="Hyperlink"/>
                <w:noProof/>
                <w:lang w:val="en-GB"/>
              </w:rPr>
              <w:t>F.</w:t>
            </w:r>
            <w:r w:rsidR="002E3DAD">
              <w:rPr>
                <w:rFonts w:asciiTheme="minorHAnsi" w:eastAsiaTheme="minorEastAsia" w:hAnsiTheme="minorHAnsi"/>
                <w:noProof/>
                <w:lang w:val="en-GB" w:eastAsia="en-GB"/>
              </w:rPr>
              <w:tab/>
            </w:r>
            <w:r w:rsidR="002E3DAD" w:rsidRPr="00C249F5">
              <w:rPr>
                <w:rStyle w:val="Hyperlink"/>
                <w:noProof/>
                <w:lang w:val="en-GB"/>
              </w:rPr>
              <w:t>Economic activities</w:t>
            </w:r>
            <w:r w:rsidR="002E3DAD">
              <w:rPr>
                <w:noProof/>
                <w:webHidden/>
              </w:rPr>
              <w:tab/>
            </w:r>
            <w:r w:rsidR="002E3DAD">
              <w:rPr>
                <w:noProof/>
                <w:webHidden/>
              </w:rPr>
              <w:fldChar w:fldCharType="begin"/>
            </w:r>
            <w:r w:rsidR="002E3DAD">
              <w:rPr>
                <w:noProof/>
                <w:webHidden/>
              </w:rPr>
              <w:instrText xml:space="preserve"> PAGEREF _Toc469063804 \h </w:instrText>
            </w:r>
            <w:r w:rsidR="002E3DAD">
              <w:rPr>
                <w:noProof/>
                <w:webHidden/>
              </w:rPr>
            </w:r>
            <w:r w:rsidR="002E3DAD">
              <w:rPr>
                <w:noProof/>
                <w:webHidden/>
              </w:rPr>
              <w:fldChar w:fldCharType="separate"/>
            </w:r>
            <w:r w:rsidR="00D477BF">
              <w:rPr>
                <w:noProof/>
                <w:webHidden/>
              </w:rPr>
              <w:t>12</w:t>
            </w:r>
            <w:r w:rsidR="002E3DAD">
              <w:rPr>
                <w:noProof/>
                <w:webHidden/>
              </w:rPr>
              <w:fldChar w:fldCharType="end"/>
            </w:r>
          </w:hyperlink>
        </w:p>
        <w:p w14:paraId="2DDA51F8" w14:textId="7BB735AF" w:rsidR="002E3DAD" w:rsidRDefault="00F852C8">
          <w:pPr>
            <w:pStyle w:val="TOC2"/>
            <w:tabs>
              <w:tab w:val="left" w:pos="880"/>
              <w:tab w:val="right" w:leader="dot" w:pos="9017"/>
            </w:tabs>
            <w:rPr>
              <w:rFonts w:asciiTheme="minorHAnsi" w:eastAsiaTheme="minorEastAsia" w:hAnsiTheme="minorHAnsi"/>
              <w:noProof/>
              <w:lang w:val="en-GB" w:eastAsia="en-GB"/>
            </w:rPr>
          </w:pPr>
          <w:hyperlink w:anchor="_Toc469063805" w:history="1">
            <w:r w:rsidR="002E3DAD" w:rsidRPr="00C249F5">
              <w:rPr>
                <w:rStyle w:val="Hyperlink"/>
                <w:noProof/>
                <w:lang w:val="en-GB"/>
              </w:rPr>
              <w:t>G.</w:t>
            </w:r>
            <w:r w:rsidR="002E3DAD">
              <w:rPr>
                <w:rFonts w:asciiTheme="minorHAnsi" w:eastAsiaTheme="minorEastAsia" w:hAnsiTheme="minorHAnsi"/>
                <w:noProof/>
                <w:lang w:val="en-GB" w:eastAsia="en-GB"/>
              </w:rPr>
              <w:tab/>
            </w:r>
            <w:r w:rsidR="002E3DAD" w:rsidRPr="00C249F5">
              <w:rPr>
                <w:rStyle w:val="Hyperlink"/>
                <w:noProof/>
                <w:lang w:val="en-GB"/>
              </w:rPr>
              <w:t>Governance of the HIREP-ERIC</w:t>
            </w:r>
            <w:r w:rsidR="002E3DAD">
              <w:rPr>
                <w:noProof/>
                <w:webHidden/>
              </w:rPr>
              <w:tab/>
            </w:r>
            <w:r w:rsidR="002E3DAD">
              <w:rPr>
                <w:noProof/>
                <w:webHidden/>
              </w:rPr>
              <w:fldChar w:fldCharType="begin"/>
            </w:r>
            <w:r w:rsidR="002E3DAD">
              <w:rPr>
                <w:noProof/>
                <w:webHidden/>
              </w:rPr>
              <w:instrText xml:space="preserve"> PAGEREF _Toc469063805 \h </w:instrText>
            </w:r>
            <w:r w:rsidR="002E3DAD">
              <w:rPr>
                <w:noProof/>
                <w:webHidden/>
              </w:rPr>
            </w:r>
            <w:r w:rsidR="002E3DAD">
              <w:rPr>
                <w:noProof/>
                <w:webHidden/>
              </w:rPr>
              <w:fldChar w:fldCharType="separate"/>
            </w:r>
            <w:r w:rsidR="00D477BF">
              <w:rPr>
                <w:noProof/>
                <w:webHidden/>
              </w:rPr>
              <w:t>12</w:t>
            </w:r>
            <w:r w:rsidR="002E3DAD">
              <w:rPr>
                <w:noProof/>
                <w:webHidden/>
              </w:rPr>
              <w:fldChar w:fldCharType="end"/>
            </w:r>
          </w:hyperlink>
        </w:p>
        <w:p w14:paraId="2B876D43" w14:textId="58E0E7F8" w:rsidR="002E3DAD" w:rsidRDefault="00F852C8">
          <w:pPr>
            <w:pStyle w:val="TOC3"/>
            <w:tabs>
              <w:tab w:val="left" w:pos="880"/>
              <w:tab w:val="right" w:leader="dot" w:pos="9017"/>
            </w:tabs>
            <w:rPr>
              <w:rFonts w:asciiTheme="minorHAnsi" w:eastAsiaTheme="minorEastAsia" w:hAnsiTheme="minorHAnsi"/>
              <w:noProof/>
              <w:lang w:val="en-GB" w:eastAsia="en-GB"/>
            </w:rPr>
          </w:pPr>
          <w:hyperlink w:anchor="_Toc469063806" w:history="1">
            <w:r w:rsidR="002E3DAD" w:rsidRPr="00C249F5">
              <w:rPr>
                <w:rStyle w:val="Hyperlink"/>
                <w:noProof/>
                <w:lang w:val="en-GB"/>
              </w:rPr>
              <w:t>1.</w:t>
            </w:r>
            <w:r w:rsidR="002E3DAD">
              <w:rPr>
                <w:rFonts w:asciiTheme="minorHAnsi" w:eastAsiaTheme="minorEastAsia" w:hAnsiTheme="minorHAnsi"/>
                <w:noProof/>
                <w:lang w:val="en-GB" w:eastAsia="en-GB"/>
              </w:rPr>
              <w:tab/>
            </w:r>
            <w:r w:rsidR="002E3DAD" w:rsidRPr="00C249F5">
              <w:rPr>
                <w:rStyle w:val="Hyperlink"/>
                <w:noProof/>
                <w:lang w:val="en-GB"/>
              </w:rPr>
              <w:t>Decision making</w:t>
            </w:r>
            <w:r w:rsidR="002E3DAD">
              <w:rPr>
                <w:noProof/>
                <w:webHidden/>
              </w:rPr>
              <w:tab/>
            </w:r>
            <w:r w:rsidR="002E3DAD">
              <w:rPr>
                <w:noProof/>
                <w:webHidden/>
              </w:rPr>
              <w:fldChar w:fldCharType="begin"/>
            </w:r>
            <w:r w:rsidR="002E3DAD">
              <w:rPr>
                <w:noProof/>
                <w:webHidden/>
              </w:rPr>
              <w:instrText xml:space="preserve"> PAGEREF _Toc469063806 \h </w:instrText>
            </w:r>
            <w:r w:rsidR="002E3DAD">
              <w:rPr>
                <w:noProof/>
                <w:webHidden/>
              </w:rPr>
            </w:r>
            <w:r w:rsidR="002E3DAD">
              <w:rPr>
                <w:noProof/>
                <w:webHidden/>
              </w:rPr>
              <w:fldChar w:fldCharType="separate"/>
            </w:r>
            <w:r w:rsidR="00D477BF">
              <w:rPr>
                <w:noProof/>
                <w:webHidden/>
              </w:rPr>
              <w:t>13</w:t>
            </w:r>
            <w:r w:rsidR="002E3DAD">
              <w:rPr>
                <w:noProof/>
                <w:webHidden/>
              </w:rPr>
              <w:fldChar w:fldCharType="end"/>
            </w:r>
          </w:hyperlink>
        </w:p>
        <w:p w14:paraId="057778D6" w14:textId="3E0ADB11" w:rsidR="002E3DAD" w:rsidRDefault="00F852C8">
          <w:pPr>
            <w:pStyle w:val="TOC3"/>
            <w:tabs>
              <w:tab w:val="left" w:pos="880"/>
              <w:tab w:val="right" w:leader="dot" w:pos="9017"/>
            </w:tabs>
            <w:rPr>
              <w:rFonts w:asciiTheme="minorHAnsi" w:eastAsiaTheme="minorEastAsia" w:hAnsiTheme="minorHAnsi"/>
              <w:noProof/>
              <w:lang w:val="en-GB" w:eastAsia="en-GB"/>
            </w:rPr>
          </w:pPr>
          <w:hyperlink w:anchor="_Toc469063807" w:history="1">
            <w:r w:rsidR="002E3DAD" w:rsidRPr="00C249F5">
              <w:rPr>
                <w:rStyle w:val="Hyperlink"/>
                <w:noProof/>
                <w:lang w:val="en-GB"/>
              </w:rPr>
              <w:t>2.</w:t>
            </w:r>
            <w:r w:rsidR="002E3DAD">
              <w:rPr>
                <w:rFonts w:asciiTheme="minorHAnsi" w:eastAsiaTheme="minorEastAsia" w:hAnsiTheme="minorHAnsi"/>
                <w:noProof/>
                <w:lang w:val="en-GB" w:eastAsia="en-GB"/>
              </w:rPr>
              <w:tab/>
            </w:r>
            <w:r w:rsidR="002E3DAD" w:rsidRPr="00C249F5">
              <w:rPr>
                <w:rStyle w:val="Hyperlink"/>
                <w:noProof/>
                <w:lang w:val="en-GB"/>
              </w:rPr>
              <w:t>Executive</w:t>
            </w:r>
            <w:r w:rsidR="002E3DAD">
              <w:rPr>
                <w:noProof/>
                <w:webHidden/>
              </w:rPr>
              <w:tab/>
            </w:r>
            <w:r w:rsidR="002E3DAD">
              <w:rPr>
                <w:noProof/>
                <w:webHidden/>
              </w:rPr>
              <w:fldChar w:fldCharType="begin"/>
            </w:r>
            <w:r w:rsidR="002E3DAD">
              <w:rPr>
                <w:noProof/>
                <w:webHidden/>
              </w:rPr>
              <w:instrText xml:space="preserve"> PAGEREF _Toc469063807 \h </w:instrText>
            </w:r>
            <w:r w:rsidR="002E3DAD">
              <w:rPr>
                <w:noProof/>
                <w:webHidden/>
              </w:rPr>
            </w:r>
            <w:r w:rsidR="002E3DAD">
              <w:rPr>
                <w:noProof/>
                <w:webHidden/>
              </w:rPr>
              <w:fldChar w:fldCharType="separate"/>
            </w:r>
            <w:r w:rsidR="00D477BF">
              <w:rPr>
                <w:noProof/>
                <w:webHidden/>
              </w:rPr>
              <w:t>14</w:t>
            </w:r>
            <w:r w:rsidR="002E3DAD">
              <w:rPr>
                <w:noProof/>
                <w:webHidden/>
              </w:rPr>
              <w:fldChar w:fldCharType="end"/>
            </w:r>
          </w:hyperlink>
        </w:p>
        <w:p w14:paraId="536366E2" w14:textId="198E963B" w:rsidR="002E3DAD" w:rsidRDefault="00F852C8">
          <w:pPr>
            <w:pStyle w:val="TOC3"/>
            <w:tabs>
              <w:tab w:val="left" w:pos="880"/>
              <w:tab w:val="right" w:leader="dot" w:pos="9017"/>
            </w:tabs>
            <w:rPr>
              <w:rFonts w:asciiTheme="minorHAnsi" w:eastAsiaTheme="minorEastAsia" w:hAnsiTheme="minorHAnsi"/>
              <w:noProof/>
              <w:lang w:val="en-GB" w:eastAsia="en-GB"/>
            </w:rPr>
          </w:pPr>
          <w:hyperlink w:anchor="_Toc469063808" w:history="1">
            <w:r w:rsidR="002E3DAD" w:rsidRPr="00C249F5">
              <w:rPr>
                <w:rStyle w:val="Hyperlink"/>
                <w:noProof/>
                <w:lang w:val="en-GB"/>
              </w:rPr>
              <w:t>3.</w:t>
            </w:r>
            <w:r w:rsidR="002E3DAD">
              <w:rPr>
                <w:rFonts w:asciiTheme="minorHAnsi" w:eastAsiaTheme="minorEastAsia" w:hAnsiTheme="minorHAnsi"/>
                <w:noProof/>
                <w:lang w:val="en-GB" w:eastAsia="en-GB"/>
              </w:rPr>
              <w:tab/>
            </w:r>
            <w:r w:rsidR="002E3DAD" w:rsidRPr="00C249F5">
              <w:rPr>
                <w:rStyle w:val="Hyperlink"/>
                <w:noProof/>
                <w:lang w:val="en-GB"/>
              </w:rPr>
              <w:t>Operative</w:t>
            </w:r>
            <w:r w:rsidR="002E3DAD">
              <w:rPr>
                <w:noProof/>
                <w:webHidden/>
              </w:rPr>
              <w:tab/>
            </w:r>
            <w:r w:rsidR="002E3DAD">
              <w:rPr>
                <w:noProof/>
                <w:webHidden/>
              </w:rPr>
              <w:fldChar w:fldCharType="begin"/>
            </w:r>
            <w:r w:rsidR="002E3DAD">
              <w:rPr>
                <w:noProof/>
                <w:webHidden/>
              </w:rPr>
              <w:instrText xml:space="preserve"> PAGEREF _Toc469063808 \h </w:instrText>
            </w:r>
            <w:r w:rsidR="002E3DAD">
              <w:rPr>
                <w:noProof/>
                <w:webHidden/>
              </w:rPr>
            </w:r>
            <w:r w:rsidR="002E3DAD">
              <w:rPr>
                <w:noProof/>
                <w:webHidden/>
              </w:rPr>
              <w:fldChar w:fldCharType="separate"/>
            </w:r>
            <w:r w:rsidR="00D477BF">
              <w:rPr>
                <w:noProof/>
                <w:webHidden/>
              </w:rPr>
              <w:t>15</w:t>
            </w:r>
            <w:r w:rsidR="002E3DAD">
              <w:rPr>
                <w:noProof/>
                <w:webHidden/>
              </w:rPr>
              <w:fldChar w:fldCharType="end"/>
            </w:r>
          </w:hyperlink>
        </w:p>
        <w:p w14:paraId="276ECE56" w14:textId="048D1B95" w:rsidR="002E3DAD" w:rsidRDefault="00F852C8">
          <w:pPr>
            <w:pStyle w:val="TOC2"/>
            <w:tabs>
              <w:tab w:val="left" w:pos="880"/>
              <w:tab w:val="right" w:leader="dot" w:pos="9017"/>
            </w:tabs>
            <w:rPr>
              <w:rFonts w:asciiTheme="minorHAnsi" w:eastAsiaTheme="minorEastAsia" w:hAnsiTheme="minorHAnsi"/>
              <w:noProof/>
              <w:lang w:val="en-GB" w:eastAsia="en-GB"/>
            </w:rPr>
          </w:pPr>
          <w:hyperlink w:anchor="_Toc469063809" w:history="1">
            <w:r w:rsidR="002E3DAD" w:rsidRPr="00C249F5">
              <w:rPr>
                <w:rStyle w:val="Hyperlink"/>
                <w:noProof/>
                <w:lang w:val="en-GB"/>
              </w:rPr>
              <w:t>H.</w:t>
            </w:r>
            <w:r w:rsidR="002E3DAD">
              <w:rPr>
                <w:rFonts w:asciiTheme="minorHAnsi" w:eastAsiaTheme="minorEastAsia" w:hAnsiTheme="minorHAnsi"/>
                <w:noProof/>
                <w:lang w:val="en-GB" w:eastAsia="en-GB"/>
              </w:rPr>
              <w:tab/>
            </w:r>
            <w:r w:rsidR="002E3DAD" w:rsidRPr="00C249F5">
              <w:rPr>
                <w:rStyle w:val="Hyperlink"/>
                <w:noProof/>
                <w:lang w:val="en-GB"/>
              </w:rPr>
              <w:t>Interaction with existing institutions</w:t>
            </w:r>
            <w:r w:rsidR="002E3DAD">
              <w:rPr>
                <w:noProof/>
                <w:webHidden/>
              </w:rPr>
              <w:tab/>
            </w:r>
            <w:r w:rsidR="002E3DAD">
              <w:rPr>
                <w:noProof/>
                <w:webHidden/>
              </w:rPr>
              <w:fldChar w:fldCharType="begin"/>
            </w:r>
            <w:r w:rsidR="002E3DAD">
              <w:rPr>
                <w:noProof/>
                <w:webHidden/>
              </w:rPr>
              <w:instrText xml:space="preserve"> PAGEREF _Toc469063809 \h </w:instrText>
            </w:r>
            <w:r w:rsidR="002E3DAD">
              <w:rPr>
                <w:noProof/>
                <w:webHidden/>
              </w:rPr>
            </w:r>
            <w:r w:rsidR="002E3DAD">
              <w:rPr>
                <w:noProof/>
                <w:webHidden/>
              </w:rPr>
              <w:fldChar w:fldCharType="separate"/>
            </w:r>
            <w:r w:rsidR="00D477BF">
              <w:rPr>
                <w:noProof/>
                <w:webHidden/>
              </w:rPr>
              <w:t>16</w:t>
            </w:r>
            <w:r w:rsidR="002E3DAD">
              <w:rPr>
                <w:noProof/>
                <w:webHidden/>
              </w:rPr>
              <w:fldChar w:fldCharType="end"/>
            </w:r>
          </w:hyperlink>
        </w:p>
        <w:p w14:paraId="60EE71BD" w14:textId="39F1D901" w:rsidR="002E3DAD" w:rsidRDefault="00F852C8">
          <w:pPr>
            <w:pStyle w:val="TOC3"/>
            <w:tabs>
              <w:tab w:val="left" w:pos="880"/>
              <w:tab w:val="right" w:leader="dot" w:pos="9017"/>
            </w:tabs>
            <w:rPr>
              <w:rFonts w:asciiTheme="minorHAnsi" w:eastAsiaTheme="minorEastAsia" w:hAnsiTheme="minorHAnsi"/>
              <w:noProof/>
              <w:lang w:val="en-GB" w:eastAsia="en-GB"/>
            </w:rPr>
          </w:pPr>
          <w:hyperlink w:anchor="_Toc469063810" w:history="1">
            <w:r w:rsidR="002E3DAD" w:rsidRPr="00C249F5">
              <w:rPr>
                <w:rStyle w:val="Hyperlink"/>
                <w:noProof/>
                <w:lang w:val="en-GB"/>
              </w:rPr>
              <w:t>1.</w:t>
            </w:r>
            <w:r w:rsidR="002E3DAD">
              <w:rPr>
                <w:rFonts w:asciiTheme="minorHAnsi" w:eastAsiaTheme="minorEastAsia" w:hAnsiTheme="minorHAnsi"/>
                <w:noProof/>
                <w:lang w:val="en-GB" w:eastAsia="en-GB"/>
              </w:rPr>
              <w:tab/>
            </w:r>
            <w:r w:rsidR="002E3DAD" w:rsidRPr="00C249F5">
              <w:rPr>
                <w:rStyle w:val="Hyperlink"/>
                <w:noProof/>
                <w:lang w:val="en-GB"/>
              </w:rPr>
              <w:t>Expert Group on Health Information (EGHI)</w:t>
            </w:r>
            <w:r w:rsidR="002E3DAD">
              <w:rPr>
                <w:noProof/>
                <w:webHidden/>
              </w:rPr>
              <w:tab/>
            </w:r>
            <w:r w:rsidR="002E3DAD">
              <w:rPr>
                <w:noProof/>
                <w:webHidden/>
              </w:rPr>
              <w:fldChar w:fldCharType="begin"/>
            </w:r>
            <w:r w:rsidR="002E3DAD">
              <w:rPr>
                <w:noProof/>
                <w:webHidden/>
              </w:rPr>
              <w:instrText xml:space="preserve"> PAGEREF _Toc469063810 \h </w:instrText>
            </w:r>
            <w:r w:rsidR="002E3DAD">
              <w:rPr>
                <w:noProof/>
                <w:webHidden/>
              </w:rPr>
            </w:r>
            <w:r w:rsidR="002E3DAD">
              <w:rPr>
                <w:noProof/>
                <w:webHidden/>
              </w:rPr>
              <w:fldChar w:fldCharType="separate"/>
            </w:r>
            <w:r w:rsidR="00D477BF">
              <w:rPr>
                <w:noProof/>
                <w:webHidden/>
              </w:rPr>
              <w:t>16</w:t>
            </w:r>
            <w:r w:rsidR="002E3DAD">
              <w:rPr>
                <w:noProof/>
                <w:webHidden/>
              </w:rPr>
              <w:fldChar w:fldCharType="end"/>
            </w:r>
          </w:hyperlink>
        </w:p>
        <w:p w14:paraId="368E37DA" w14:textId="680D7647" w:rsidR="002E3DAD" w:rsidRDefault="00F852C8">
          <w:pPr>
            <w:pStyle w:val="TOC3"/>
            <w:tabs>
              <w:tab w:val="left" w:pos="880"/>
              <w:tab w:val="right" w:leader="dot" w:pos="9017"/>
            </w:tabs>
            <w:rPr>
              <w:rFonts w:asciiTheme="minorHAnsi" w:eastAsiaTheme="minorEastAsia" w:hAnsiTheme="minorHAnsi"/>
              <w:noProof/>
              <w:lang w:val="en-GB" w:eastAsia="en-GB"/>
            </w:rPr>
          </w:pPr>
          <w:hyperlink w:anchor="_Toc469063811" w:history="1">
            <w:r w:rsidR="002E3DAD" w:rsidRPr="00C249F5">
              <w:rPr>
                <w:rStyle w:val="Hyperlink"/>
                <w:noProof/>
                <w:lang w:val="en-GB"/>
              </w:rPr>
              <w:t>2.</w:t>
            </w:r>
            <w:r w:rsidR="002E3DAD">
              <w:rPr>
                <w:rFonts w:asciiTheme="minorHAnsi" w:eastAsiaTheme="minorEastAsia" w:hAnsiTheme="minorHAnsi"/>
                <w:noProof/>
                <w:lang w:val="en-GB" w:eastAsia="en-GB"/>
              </w:rPr>
              <w:tab/>
            </w:r>
            <w:r w:rsidR="002E3DAD" w:rsidRPr="00C249F5">
              <w:rPr>
                <w:rStyle w:val="Hyperlink"/>
                <w:noProof/>
                <w:lang w:val="en-GB"/>
              </w:rPr>
              <w:t>National Public Health Institutes (NPHI)</w:t>
            </w:r>
            <w:r w:rsidR="002E3DAD">
              <w:rPr>
                <w:noProof/>
                <w:webHidden/>
              </w:rPr>
              <w:tab/>
            </w:r>
            <w:r w:rsidR="002E3DAD">
              <w:rPr>
                <w:noProof/>
                <w:webHidden/>
              </w:rPr>
              <w:fldChar w:fldCharType="begin"/>
            </w:r>
            <w:r w:rsidR="002E3DAD">
              <w:rPr>
                <w:noProof/>
                <w:webHidden/>
              </w:rPr>
              <w:instrText xml:space="preserve"> PAGEREF _Toc469063811 \h </w:instrText>
            </w:r>
            <w:r w:rsidR="002E3DAD">
              <w:rPr>
                <w:noProof/>
                <w:webHidden/>
              </w:rPr>
            </w:r>
            <w:r w:rsidR="002E3DAD">
              <w:rPr>
                <w:noProof/>
                <w:webHidden/>
              </w:rPr>
              <w:fldChar w:fldCharType="separate"/>
            </w:r>
            <w:r w:rsidR="00D477BF">
              <w:rPr>
                <w:noProof/>
                <w:webHidden/>
              </w:rPr>
              <w:t>17</w:t>
            </w:r>
            <w:r w:rsidR="002E3DAD">
              <w:rPr>
                <w:noProof/>
                <w:webHidden/>
              </w:rPr>
              <w:fldChar w:fldCharType="end"/>
            </w:r>
          </w:hyperlink>
        </w:p>
        <w:p w14:paraId="09017805" w14:textId="19458907" w:rsidR="002E3DAD" w:rsidRDefault="00F852C8">
          <w:pPr>
            <w:pStyle w:val="TOC1"/>
            <w:tabs>
              <w:tab w:val="left" w:pos="660"/>
              <w:tab w:val="right" w:leader="dot" w:pos="9017"/>
            </w:tabs>
            <w:rPr>
              <w:rFonts w:asciiTheme="minorHAnsi" w:eastAsiaTheme="minorEastAsia" w:hAnsiTheme="minorHAnsi"/>
              <w:noProof/>
              <w:lang w:val="en-GB" w:eastAsia="en-GB"/>
            </w:rPr>
          </w:pPr>
          <w:hyperlink w:anchor="_Toc469063812" w:history="1">
            <w:r w:rsidR="002E3DAD" w:rsidRPr="00C249F5">
              <w:rPr>
                <w:rStyle w:val="Hyperlink"/>
                <w:noProof/>
              </w:rPr>
              <w:t>IV.</w:t>
            </w:r>
            <w:r w:rsidR="002E3DAD">
              <w:rPr>
                <w:rFonts w:asciiTheme="minorHAnsi" w:eastAsiaTheme="minorEastAsia" w:hAnsiTheme="minorHAnsi"/>
                <w:noProof/>
                <w:lang w:val="en-GB" w:eastAsia="en-GB"/>
              </w:rPr>
              <w:tab/>
            </w:r>
            <w:r w:rsidR="002E3DAD" w:rsidRPr="00C249F5">
              <w:rPr>
                <w:rStyle w:val="Hyperlink"/>
                <w:noProof/>
              </w:rPr>
              <w:t>Landscape ESFRI</w:t>
            </w:r>
            <w:r w:rsidR="002E3DAD">
              <w:rPr>
                <w:noProof/>
                <w:webHidden/>
              </w:rPr>
              <w:tab/>
            </w:r>
            <w:r w:rsidR="002E3DAD">
              <w:rPr>
                <w:noProof/>
                <w:webHidden/>
              </w:rPr>
              <w:fldChar w:fldCharType="begin"/>
            </w:r>
            <w:r w:rsidR="002E3DAD">
              <w:rPr>
                <w:noProof/>
                <w:webHidden/>
              </w:rPr>
              <w:instrText xml:space="preserve"> PAGEREF _Toc469063812 \h </w:instrText>
            </w:r>
            <w:r w:rsidR="002E3DAD">
              <w:rPr>
                <w:noProof/>
                <w:webHidden/>
              </w:rPr>
            </w:r>
            <w:r w:rsidR="002E3DAD">
              <w:rPr>
                <w:noProof/>
                <w:webHidden/>
              </w:rPr>
              <w:fldChar w:fldCharType="separate"/>
            </w:r>
            <w:r w:rsidR="00D477BF">
              <w:rPr>
                <w:noProof/>
                <w:webHidden/>
              </w:rPr>
              <w:t>18</w:t>
            </w:r>
            <w:r w:rsidR="002E3DAD">
              <w:rPr>
                <w:noProof/>
                <w:webHidden/>
              </w:rPr>
              <w:fldChar w:fldCharType="end"/>
            </w:r>
          </w:hyperlink>
        </w:p>
        <w:p w14:paraId="186618C8" w14:textId="44EE390A" w:rsidR="002E3DAD" w:rsidRDefault="00F852C8">
          <w:pPr>
            <w:pStyle w:val="TOC1"/>
            <w:tabs>
              <w:tab w:val="left" w:pos="440"/>
              <w:tab w:val="right" w:leader="dot" w:pos="9017"/>
            </w:tabs>
            <w:rPr>
              <w:rFonts w:asciiTheme="minorHAnsi" w:eastAsiaTheme="minorEastAsia" w:hAnsiTheme="minorHAnsi"/>
              <w:noProof/>
              <w:lang w:val="en-GB" w:eastAsia="en-GB"/>
            </w:rPr>
          </w:pPr>
          <w:hyperlink w:anchor="_Toc469063813" w:history="1">
            <w:r w:rsidR="002E3DAD" w:rsidRPr="00C249F5">
              <w:rPr>
                <w:rStyle w:val="Hyperlink"/>
                <w:noProof/>
              </w:rPr>
              <w:t>V.</w:t>
            </w:r>
            <w:r w:rsidR="002E3DAD">
              <w:rPr>
                <w:rFonts w:asciiTheme="minorHAnsi" w:eastAsiaTheme="minorEastAsia" w:hAnsiTheme="minorHAnsi"/>
                <w:noProof/>
                <w:lang w:val="en-GB" w:eastAsia="en-GB"/>
              </w:rPr>
              <w:tab/>
            </w:r>
            <w:r w:rsidR="002E3DAD" w:rsidRPr="00C249F5">
              <w:rPr>
                <w:rStyle w:val="Hyperlink"/>
                <w:noProof/>
              </w:rPr>
              <w:t>ERIC requirements</w:t>
            </w:r>
            <w:r w:rsidR="002E3DAD">
              <w:rPr>
                <w:noProof/>
                <w:webHidden/>
              </w:rPr>
              <w:tab/>
            </w:r>
            <w:r w:rsidR="002E3DAD">
              <w:rPr>
                <w:noProof/>
                <w:webHidden/>
              </w:rPr>
              <w:fldChar w:fldCharType="begin"/>
            </w:r>
            <w:r w:rsidR="002E3DAD">
              <w:rPr>
                <w:noProof/>
                <w:webHidden/>
              </w:rPr>
              <w:instrText xml:space="preserve"> PAGEREF _Toc469063813 \h </w:instrText>
            </w:r>
            <w:r w:rsidR="002E3DAD">
              <w:rPr>
                <w:noProof/>
                <w:webHidden/>
              </w:rPr>
            </w:r>
            <w:r w:rsidR="002E3DAD">
              <w:rPr>
                <w:noProof/>
                <w:webHidden/>
              </w:rPr>
              <w:fldChar w:fldCharType="separate"/>
            </w:r>
            <w:r w:rsidR="00D477BF">
              <w:rPr>
                <w:noProof/>
                <w:webHidden/>
              </w:rPr>
              <w:t>19</w:t>
            </w:r>
            <w:r w:rsidR="002E3DAD">
              <w:rPr>
                <w:noProof/>
                <w:webHidden/>
              </w:rPr>
              <w:fldChar w:fldCharType="end"/>
            </w:r>
          </w:hyperlink>
        </w:p>
        <w:p w14:paraId="1FD176A4" w14:textId="56C7944C" w:rsidR="002E3DAD" w:rsidRDefault="00F852C8">
          <w:pPr>
            <w:pStyle w:val="TOC2"/>
            <w:tabs>
              <w:tab w:val="left" w:pos="660"/>
              <w:tab w:val="right" w:leader="dot" w:pos="9017"/>
            </w:tabs>
            <w:rPr>
              <w:rFonts w:asciiTheme="minorHAnsi" w:eastAsiaTheme="minorEastAsia" w:hAnsiTheme="minorHAnsi"/>
              <w:noProof/>
              <w:lang w:val="en-GB" w:eastAsia="en-GB"/>
            </w:rPr>
          </w:pPr>
          <w:hyperlink w:anchor="_Toc469063814" w:history="1">
            <w:r w:rsidR="002E3DAD" w:rsidRPr="00C249F5">
              <w:rPr>
                <w:rStyle w:val="Hyperlink"/>
                <w:noProof/>
                <w:lang w:val="en-GB"/>
              </w:rPr>
              <w:t>A.</w:t>
            </w:r>
            <w:r w:rsidR="002E3DAD">
              <w:rPr>
                <w:rFonts w:asciiTheme="minorHAnsi" w:eastAsiaTheme="minorEastAsia" w:hAnsiTheme="minorHAnsi"/>
                <w:noProof/>
                <w:lang w:val="en-GB" w:eastAsia="en-GB"/>
              </w:rPr>
              <w:tab/>
            </w:r>
            <w:r w:rsidR="002E3DAD" w:rsidRPr="00C249F5">
              <w:rPr>
                <w:rStyle w:val="Hyperlink"/>
                <w:noProof/>
                <w:lang w:val="en-GB"/>
              </w:rPr>
              <w:t>Necessity</w:t>
            </w:r>
            <w:r w:rsidR="002E3DAD">
              <w:rPr>
                <w:noProof/>
                <w:webHidden/>
              </w:rPr>
              <w:tab/>
            </w:r>
            <w:r w:rsidR="002E3DAD">
              <w:rPr>
                <w:noProof/>
                <w:webHidden/>
              </w:rPr>
              <w:fldChar w:fldCharType="begin"/>
            </w:r>
            <w:r w:rsidR="002E3DAD">
              <w:rPr>
                <w:noProof/>
                <w:webHidden/>
              </w:rPr>
              <w:instrText xml:space="preserve"> PAGEREF _Toc469063814 \h </w:instrText>
            </w:r>
            <w:r w:rsidR="002E3DAD">
              <w:rPr>
                <w:noProof/>
                <w:webHidden/>
              </w:rPr>
            </w:r>
            <w:r w:rsidR="002E3DAD">
              <w:rPr>
                <w:noProof/>
                <w:webHidden/>
              </w:rPr>
              <w:fldChar w:fldCharType="separate"/>
            </w:r>
            <w:r w:rsidR="00D477BF">
              <w:rPr>
                <w:noProof/>
                <w:webHidden/>
              </w:rPr>
              <w:t>19</w:t>
            </w:r>
            <w:r w:rsidR="002E3DAD">
              <w:rPr>
                <w:noProof/>
                <w:webHidden/>
              </w:rPr>
              <w:fldChar w:fldCharType="end"/>
            </w:r>
          </w:hyperlink>
        </w:p>
        <w:p w14:paraId="41C13E15" w14:textId="59987314" w:rsidR="002E3DAD" w:rsidRDefault="00F852C8">
          <w:pPr>
            <w:pStyle w:val="TOC2"/>
            <w:tabs>
              <w:tab w:val="left" w:pos="660"/>
              <w:tab w:val="right" w:leader="dot" w:pos="9017"/>
            </w:tabs>
            <w:rPr>
              <w:rFonts w:asciiTheme="minorHAnsi" w:eastAsiaTheme="minorEastAsia" w:hAnsiTheme="minorHAnsi"/>
              <w:noProof/>
              <w:lang w:val="en-GB" w:eastAsia="en-GB"/>
            </w:rPr>
          </w:pPr>
          <w:hyperlink w:anchor="_Toc469063815" w:history="1">
            <w:r w:rsidR="002E3DAD" w:rsidRPr="00C249F5">
              <w:rPr>
                <w:rStyle w:val="Hyperlink"/>
                <w:noProof/>
                <w:lang w:val="en-GB"/>
              </w:rPr>
              <w:t>B.</w:t>
            </w:r>
            <w:r w:rsidR="002E3DAD">
              <w:rPr>
                <w:rFonts w:asciiTheme="minorHAnsi" w:eastAsiaTheme="minorEastAsia" w:hAnsiTheme="minorHAnsi"/>
                <w:noProof/>
                <w:lang w:val="en-GB" w:eastAsia="en-GB"/>
              </w:rPr>
              <w:tab/>
            </w:r>
            <w:r w:rsidR="002E3DAD" w:rsidRPr="00C249F5">
              <w:rPr>
                <w:rStyle w:val="Hyperlink"/>
                <w:noProof/>
                <w:lang w:val="en-GB"/>
              </w:rPr>
              <w:t>Strengthening the European Research Area (ERA)</w:t>
            </w:r>
            <w:r w:rsidR="002E3DAD">
              <w:rPr>
                <w:noProof/>
                <w:webHidden/>
              </w:rPr>
              <w:tab/>
            </w:r>
            <w:r w:rsidR="002E3DAD">
              <w:rPr>
                <w:noProof/>
                <w:webHidden/>
              </w:rPr>
              <w:fldChar w:fldCharType="begin"/>
            </w:r>
            <w:r w:rsidR="002E3DAD">
              <w:rPr>
                <w:noProof/>
                <w:webHidden/>
              </w:rPr>
              <w:instrText xml:space="preserve"> PAGEREF _Toc469063815 \h </w:instrText>
            </w:r>
            <w:r w:rsidR="002E3DAD">
              <w:rPr>
                <w:noProof/>
                <w:webHidden/>
              </w:rPr>
            </w:r>
            <w:r w:rsidR="002E3DAD">
              <w:rPr>
                <w:noProof/>
                <w:webHidden/>
              </w:rPr>
              <w:fldChar w:fldCharType="separate"/>
            </w:r>
            <w:r w:rsidR="00D477BF">
              <w:rPr>
                <w:noProof/>
                <w:webHidden/>
              </w:rPr>
              <w:t>20</w:t>
            </w:r>
            <w:r w:rsidR="002E3DAD">
              <w:rPr>
                <w:noProof/>
                <w:webHidden/>
              </w:rPr>
              <w:fldChar w:fldCharType="end"/>
            </w:r>
          </w:hyperlink>
        </w:p>
        <w:p w14:paraId="2D777090" w14:textId="1D01B23A" w:rsidR="002E3DAD" w:rsidRDefault="00F852C8">
          <w:pPr>
            <w:pStyle w:val="TOC2"/>
            <w:tabs>
              <w:tab w:val="left" w:pos="660"/>
              <w:tab w:val="right" w:leader="dot" w:pos="9017"/>
            </w:tabs>
            <w:rPr>
              <w:rFonts w:asciiTheme="minorHAnsi" w:eastAsiaTheme="minorEastAsia" w:hAnsiTheme="minorHAnsi"/>
              <w:noProof/>
              <w:lang w:val="en-GB" w:eastAsia="en-GB"/>
            </w:rPr>
          </w:pPr>
          <w:hyperlink w:anchor="_Toc469063816" w:history="1">
            <w:r w:rsidR="002E3DAD" w:rsidRPr="00C249F5">
              <w:rPr>
                <w:rStyle w:val="Hyperlink"/>
                <w:noProof/>
                <w:lang w:val="en-GB"/>
              </w:rPr>
              <w:t>C.</w:t>
            </w:r>
            <w:r w:rsidR="002E3DAD">
              <w:rPr>
                <w:rFonts w:asciiTheme="minorHAnsi" w:eastAsiaTheme="minorEastAsia" w:hAnsiTheme="minorHAnsi"/>
                <w:noProof/>
                <w:lang w:val="en-GB" w:eastAsia="en-GB"/>
              </w:rPr>
              <w:tab/>
            </w:r>
            <w:r w:rsidR="002E3DAD" w:rsidRPr="00C249F5">
              <w:rPr>
                <w:rStyle w:val="Hyperlink"/>
                <w:noProof/>
                <w:lang w:val="en-GB"/>
              </w:rPr>
              <w:t>Effective Access</w:t>
            </w:r>
            <w:r w:rsidR="002E3DAD">
              <w:rPr>
                <w:noProof/>
                <w:webHidden/>
              </w:rPr>
              <w:tab/>
            </w:r>
            <w:r w:rsidR="002E3DAD">
              <w:rPr>
                <w:noProof/>
                <w:webHidden/>
              </w:rPr>
              <w:fldChar w:fldCharType="begin"/>
            </w:r>
            <w:r w:rsidR="002E3DAD">
              <w:rPr>
                <w:noProof/>
                <w:webHidden/>
              </w:rPr>
              <w:instrText xml:space="preserve"> PAGEREF _Toc469063816 \h </w:instrText>
            </w:r>
            <w:r w:rsidR="002E3DAD">
              <w:rPr>
                <w:noProof/>
                <w:webHidden/>
              </w:rPr>
            </w:r>
            <w:r w:rsidR="002E3DAD">
              <w:rPr>
                <w:noProof/>
                <w:webHidden/>
              </w:rPr>
              <w:fldChar w:fldCharType="separate"/>
            </w:r>
            <w:r w:rsidR="00D477BF">
              <w:rPr>
                <w:noProof/>
                <w:webHidden/>
              </w:rPr>
              <w:t>20</w:t>
            </w:r>
            <w:r w:rsidR="002E3DAD">
              <w:rPr>
                <w:noProof/>
                <w:webHidden/>
              </w:rPr>
              <w:fldChar w:fldCharType="end"/>
            </w:r>
          </w:hyperlink>
        </w:p>
        <w:p w14:paraId="5A262259" w14:textId="44C6E4F4" w:rsidR="002E3DAD" w:rsidRDefault="00F852C8">
          <w:pPr>
            <w:pStyle w:val="TOC2"/>
            <w:tabs>
              <w:tab w:val="left" w:pos="660"/>
              <w:tab w:val="right" w:leader="dot" w:pos="9017"/>
            </w:tabs>
            <w:rPr>
              <w:rFonts w:asciiTheme="minorHAnsi" w:eastAsiaTheme="minorEastAsia" w:hAnsiTheme="minorHAnsi"/>
              <w:noProof/>
              <w:lang w:val="en-GB" w:eastAsia="en-GB"/>
            </w:rPr>
          </w:pPr>
          <w:hyperlink w:anchor="_Toc469063817" w:history="1">
            <w:r w:rsidR="002E3DAD" w:rsidRPr="00C249F5">
              <w:rPr>
                <w:rStyle w:val="Hyperlink"/>
                <w:noProof/>
                <w:lang w:val="en-GB"/>
              </w:rPr>
              <w:t>D.</w:t>
            </w:r>
            <w:r w:rsidR="002E3DAD">
              <w:rPr>
                <w:rFonts w:asciiTheme="minorHAnsi" w:eastAsiaTheme="minorEastAsia" w:hAnsiTheme="minorHAnsi"/>
                <w:noProof/>
                <w:lang w:val="en-GB" w:eastAsia="en-GB"/>
              </w:rPr>
              <w:tab/>
            </w:r>
            <w:r w:rsidR="002E3DAD" w:rsidRPr="00C249F5">
              <w:rPr>
                <w:rStyle w:val="Hyperlink"/>
                <w:noProof/>
                <w:lang w:val="en-GB"/>
              </w:rPr>
              <w:t>Mobility</w:t>
            </w:r>
            <w:r w:rsidR="002E3DAD">
              <w:rPr>
                <w:noProof/>
                <w:webHidden/>
              </w:rPr>
              <w:tab/>
            </w:r>
            <w:r w:rsidR="002E3DAD">
              <w:rPr>
                <w:noProof/>
                <w:webHidden/>
              </w:rPr>
              <w:fldChar w:fldCharType="begin"/>
            </w:r>
            <w:r w:rsidR="002E3DAD">
              <w:rPr>
                <w:noProof/>
                <w:webHidden/>
              </w:rPr>
              <w:instrText xml:space="preserve"> PAGEREF _Toc469063817 \h </w:instrText>
            </w:r>
            <w:r w:rsidR="002E3DAD">
              <w:rPr>
                <w:noProof/>
                <w:webHidden/>
              </w:rPr>
            </w:r>
            <w:r w:rsidR="002E3DAD">
              <w:rPr>
                <w:noProof/>
                <w:webHidden/>
              </w:rPr>
              <w:fldChar w:fldCharType="separate"/>
            </w:r>
            <w:r w:rsidR="00D477BF">
              <w:rPr>
                <w:noProof/>
                <w:webHidden/>
              </w:rPr>
              <w:t>21</w:t>
            </w:r>
            <w:r w:rsidR="002E3DAD">
              <w:rPr>
                <w:noProof/>
                <w:webHidden/>
              </w:rPr>
              <w:fldChar w:fldCharType="end"/>
            </w:r>
          </w:hyperlink>
        </w:p>
        <w:p w14:paraId="0400889A" w14:textId="403D37CE" w:rsidR="002E3DAD" w:rsidRDefault="00F852C8">
          <w:pPr>
            <w:pStyle w:val="TOC2"/>
            <w:tabs>
              <w:tab w:val="left" w:pos="660"/>
              <w:tab w:val="right" w:leader="dot" w:pos="9017"/>
            </w:tabs>
            <w:rPr>
              <w:rFonts w:asciiTheme="minorHAnsi" w:eastAsiaTheme="minorEastAsia" w:hAnsiTheme="minorHAnsi"/>
              <w:noProof/>
              <w:lang w:val="en-GB" w:eastAsia="en-GB"/>
            </w:rPr>
          </w:pPr>
          <w:hyperlink w:anchor="_Toc469063818" w:history="1">
            <w:r w:rsidR="002E3DAD" w:rsidRPr="00C249F5">
              <w:rPr>
                <w:rStyle w:val="Hyperlink"/>
                <w:noProof/>
                <w:lang w:val="en-GB"/>
              </w:rPr>
              <w:t>E.</w:t>
            </w:r>
            <w:r w:rsidR="002E3DAD">
              <w:rPr>
                <w:rFonts w:asciiTheme="minorHAnsi" w:eastAsiaTheme="minorEastAsia" w:hAnsiTheme="minorHAnsi"/>
                <w:noProof/>
                <w:lang w:val="en-GB" w:eastAsia="en-GB"/>
              </w:rPr>
              <w:tab/>
            </w:r>
            <w:r w:rsidR="002E3DAD" w:rsidRPr="00C249F5">
              <w:rPr>
                <w:rStyle w:val="Hyperlink"/>
                <w:noProof/>
                <w:lang w:val="en-GB"/>
              </w:rPr>
              <w:t>Dissemination</w:t>
            </w:r>
            <w:r w:rsidR="002E3DAD">
              <w:rPr>
                <w:noProof/>
                <w:webHidden/>
              </w:rPr>
              <w:tab/>
            </w:r>
            <w:r w:rsidR="002E3DAD">
              <w:rPr>
                <w:noProof/>
                <w:webHidden/>
              </w:rPr>
              <w:fldChar w:fldCharType="begin"/>
            </w:r>
            <w:r w:rsidR="002E3DAD">
              <w:rPr>
                <w:noProof/>
                <w:webHidden/>
              </w:rPr>
              <w:instrText xml:space="preserve"> PAGEREF _Toc469063818 \h </w:instrText>
            </w:r>
            <w:r w:rsidR="002E3DAD">
              <w:rPr>
                <w:noProof/>
                <w:webHidden/>
              </w:rPr>
            </w:r>
            <w:r w:rsidR="002E3DAD">
              <w:rPr>
                <w:noProof/>
                <w:webHidden/>
              </w:rPr>
              <w:fldChar w:fldCharType="separate"/>
            </w:r>
            <w:r w:rsidR="00D477BF">
              <w:rPr>
                <w:noProof/>
                <w:webHidden/>
              </w:rPr>
              <w:t>21</w:t>
            </w:r>
            <w:r w:rsidR="002E3DAD">
              <w:rPr>
                <w:noProof/>
                <w:webHidden/>
              </w:rPr>
              <w:fldChar w:fldCharType="end"/>
            </w:r>
          </w:hyperlink>
        </w:p>
        <w:p w14:paraId="23852E60" w14:textId="6596DB7D" w:rsidR="002E3DAD" w:rsidRDefault="00F852C8">
          <w:pPr>
            <w:pStyle w:val="TOC2"/>
            <w:tabs>
              <w:tab w:val="left" w:pos="660"/>
              <w:tab w:val="right" w:leader="dot" w:pos="9017"/>
            </w:tabs>
            <w:rPr>
              <w:rFonts w:asciiTheme="minorHAnsi" w:eastAsiaTheme="minorEastAsia" w:hAnsiTheme="minorHAnsi"/>
              <w:noProof/>
              <w:lang w:val="en-GB" w:eastAsia="en-GB"/>
            </w:rPr>
          </w:pPr>
          <w:hyperlink w:anchor="_Toc469063819" w:history="1">
            <w:r w:rsidR="002E3DAD" w:rsidRPr="00C249F5">
              <w:rPr>
                <w:rStyle w:val="Hyperlink"/>
                <w:noProof/>
                <w:lang w:val="en-GB"/>
              </w:rPr>
              <w:t>F.</w:t>
            </w:r>
            <w:r w:rsidR="002E3DAD">
              <w:rPr>
                <w:rFonts w:asciiTheme="minorHAnsi" w:eastAsiaTheme="minorEastAsia" w:hAnsiTheme="minorHAnsi"/>
                <w:noProof/>
                <w:lang w:val="en-GB" w:eastAsia="en-GB"/>
              </w:rPr>
              <w:tab/>
            </w:r>
            <w:r w:rsidR="002E3DAD" w:rsidRPr="00C249F5">
              <w:rPr>
                <w:rStyle w:val="Hyperlink"/>
                <w:noProof/>
                <w:lang w:val="en-GB"/>
              </w:rPr>
              <w:t>Conclusion added value</w:t>
            </w:r>
            <w:r w:rsidR="002E3DAD">
              <w:rPr>
                <w:noProof/>
                <w:webHidden/>
              </w:rPr>
              <w:tab/>
            </w:r>
            <w:r w:rsidR="002E3DAD">
              <w:rPr>
                <w:noProof/>
                <w:webHidden/>
              </w:rPr>
              <w:fldChar w:fldCharType="begin"/>
            </w:r>
            <w:r w:rsidR="002E3DAD">
              <w:rPr>
                <w:noProof/>
                <w:webHidden/>
              </w:rPr>
              <w:instrText xml:space="preserve"> PAGEREF _Toc469063819 \h </w:instrText>
            </w:r>
            <w:r w:rsidR="002E3DAD">
              <w:rPr>
                <w:noProof/>
                <w:webHidden/>
              </w:rPr>
            </w:r>
            <w:r w:rsidR="002E3DAD">
              <w:rPr>
                <w:noProof/>
                <w:webHidden/>
              </w:rPr>
              <w:fldChar w:fldCharType="separate"/>
            </w:r>
            <w:r w:rsidR="00D477BF">
              <w:rPr>
                <w:noProof/>
                <w:webHidden/>
              </w:rPr>
              <w:t>21</w:t>
            </w:r>
            <w:r w:rsidR="002E3DAD">
              <w:rPr>
                <w:noProof/>
                <w:webHidden/>
              </w:rPr>
              <w:fldChar w:fldCharType="end"/>
            </w:r>
          </w:hyperlink>
        </w:p>
        <w:p w14:paraId="4750D5B7" w14:textId="2B3E3548" w:rsidR="002E3DAD" w:rsidRDefault="00F852C8">
          <w:pPr>
            <w:pStyle w:val="TOC1"/>
            <w:tabs>
              <w:tab w:val="left" w:pos="660"/>
              <w:tab w:val="right" w:leader="dot" w:pos="9017"/>
            </w:tabs>
            <w:rPr>
              <w:rFonts w:asciiTheme="minorHAnsi" w:eastAsiaTheme="minorEastAsia" w:hAnsiTheme="minorHAnsi"/>
              <w:noProof/>
              <w:lang w:val="en-GB" w:eastAsia="en-GB"/>
            </w:rPr>
          </w:pPr>
          <w:hyperlink w:anchor="_Toc469063820" w:history="1">
            <w:r w:rsidR="002E3DAD" w:rsidRPr="00C249F5">
              <w:rPr>
                <w:rStyle w:val="Hyperlink"/>
                <w:noProof/>
              </w:rPr>
              <w:t>VI.</w:t>
            </w:r>
            <w:r w:rsidR="002E3DAD">
              <w:rPr>
                <w:rFonts w:asciiTheme="minorHAnsi" w:eastAsiaTheme="minorEastAsia" w:hAnsiTheme="minorHAnsi"/>
                <w:noProof/>
                <w:lang w:val="en-GB" w:eastAsia="en-GB"/>
              </w:rPr>
              <w:tab/>
            </w:r>
            <w:r w:rsidR="002E3DAD" w:rsidRPr="00C249F5">
              <w:rPr>
                <w:rStyle w:val="Hyperlink"/>
                <w:noProof/>
              </w:rPr>
              <w:t>Risk assessment for implementation</w:t>
            </w:r>
            <w:r w:rsidR="002E3DAD">
              <w:rPr>
                <w:noProof/>
                <w:webHidden/>
              </w:rPr>
              <w:tab/>
            </w:r>
            <w:r w:rsidR="002E3DAD">
              <w:rPr>
                <w:noProof/>
                <w:webHidden/>
              </w:rPr>
              <w:fldChar w:fldCharType="begin"/>
            </w:r>
            <w:r w:rsidR="002E3DAD">
              <w:rPr>
                <w:noProof/>
                <w:webHidden/>
              </w:rPr>
              <w:instrText xml:space="preserve"> PAGEREF _Toc469063820 \h </w:instrText>
            </w:r>
            <w:r w:rsidR="002E3DAD">
              <w:rPr>
                <w:noProof/>
                <w:webHidden/>
              </w:rPr>
            </w:r>
            <w:r w:rsidR="002E3DAD">
              <w:rPr>
                <w:noProof/>
                <w:webHidden/>
              </w:rPr>
              <w:fldChar w:fldCharType="separate"/>
            </w:r>
            <w:r w:rsidR="00D477BF">
              <w:rPr>
                <w:noProof/>
                <w:webHidden/>
              </w:rPr>
              <w:t>24</w:t>
            </w:r>
            <w:r w:rsidR="002E3DAD">
              <w:rPr>
                <w:noProof/>
                <w:webHidden/>
              </w:rPr>
              <w:fldChar w:fldCharType="end"/>
            </w:r>
          </w:hyperlink>
        </w:p>
        <w:p w14:paraId="0323BA35" w14:textId="1E543C9C" w:rsidR="002E3DAD" w:rsidRDefault="00F852C8">
          <w:pPr>
            <w:pStyle w:val="TOC1"/>
            <w:tabs>
              <w:tab w:val="right" w:leader="dot" w:pos="9017"/>
            </w:tabs>
            <w:rPr>
              <w:rFonts w:asciiTheme="minorHAnsi" w:eastAsiaTheme="minorEastAsia" w:hAnsiTheme="minorHAnsi"/>
              <w:noProof/>
              <w:lang w:val="en-GB" w:eastAsia="en-GB"/>
            </w:rPr>
          </w:pPr>
          <w:hyperlink w:anchor="_Toc469063821" w:history="1">
            <w:r w:rsidR="002E3DAD" w:rsidRPr="00C249F5">
              <w:rPr>
                <w:rStyle w:val="Hyperlink"/>
                <w:noProof/>
              </w:rPr>
              <w:t>References</w:t>
            </w:r>
            <w:r w:rsidR="002E3DAD">
              <w:rPr>
                <w:noProof/>
                <w:webHidden/>
              </w:rPr>
              <w:tab/>
            </w:r>
            <w:r w:rsidR="002E3DAD">
              <w:rPr>
                <w:noProof/>
                <w:webHidden/>
              </w:rPr>
              <w:fldChar w:fldCharType="begin"/>
            </w:r>
            <w:r w:rsidR="002E3DAD">
              <w:rPr>
                <w:noProof/>
                <w:webHidden/>
              </w:rPr>
              <w:instrText xml:space="preserve"> PAGEREF _Toc469063821 \h </w:instrText>
            </w:r>
            <w:r w:rsidR="002E3DAD">
              <w:rPr>
                <w:noProof/>
                <w:webHidden/>
              </w:rPr>
            </w:r>
            <w:r w:rsidR="002E3DAD">
              <w:rPr>
                <w:noProof/>
                <w:webHidden/>
              </w:rPr>
              <w:fldChar w:fldCharType="separate"/>
            </w:r>
            <w:r w:rsidR="00D477BF">
              <w:rPr>
                <w:noProof/>
                <w:webHidden/>
              </w:rPr>
              <w:t>25</w:t>
            </w:r>
            <w:r w:rsidR="002E3DAD">
              <w:rPr>
                <w:noProof/>
                <w:webHidden/>
              </w:rPr>
              <w:fldChar w:fldCharType="end"/>
            </w:r>
          </w:hyperlink>
        </w:p>
        <w:p w14:paraId="0CAB25E0" w14:textId="77777777" w:rsidR="00D775F0" w:rsidRPr="00607A46" w:rsidRDefault="00E96A09" w:rsidP="00D775F0">
          <w:pPr>
            <w:rPr>
              <w:lang w:val="en-GB"/>
            </w:rPr>
          </w:pPr>
          <w:r w:rsidRPr="00607A46">
            <w:rPr>
              <w:b/>
              <w:bCs/>
              <w:lang w:val="en-GB"/>
            </w:rPr>
            <w:fldChar w:fldCharType="end"/>
          </w:r>
        </w:p>
      </w:sdtContent>
    </w:sdt>
    <w:p w14:paraId="1CD8B2B5" w14:textId="77777777" w:rsidR="00031BDE" w:rsidRDefault="00031BDE" w:rsidP="00FA6D94">
      <w:pPr>
        <w:pStyle w:val="Heading1"/>
        <w:pageBreakBefore/>
      </w:pPr>
      <w:bookmarkStart w:id="0" w:name="_Toc469063791"/>
      <w:r>
        <w:lastRenderedPageBreak/>
        <w:t>Executive summary</w:t>
      </w:r>
      <w:bookmarkEnd w:id="0"/>
    </w:p>
    <w:p w14:paraId="404C9A4B" w14:textId="08CD4A56" w:rsidR="009979B5" w:rsidRDefault="008319FB" w:rsidP="00017D05">
      <w:pPr>
        <w:rPr>
          <w:lang w:val="en-GB"/>
        </w:rPr>
      </w:pPr>
      <w:r>
        <w:rPr>
          <w:lang w:val="en-GB"/>
        </w:rPr>
        <w:t>EU countries</w:t>
      </w:r>
      <w:r>
        <w:rPr>
          <w:rStyle w:val="FootnoteReference"/>
          <w:lang w:val="en-GB"/>
        </w:rPr>
        <w:footnoteReference w:id="2"/>
      </w:r>
      <w:r w:rsidR="009979B5" w:rsidRPr="009979B5">
        <w:rPr>
          <w:lang w:val="en-GB"/>
        </w:rPr>
        <w:t xml:space="preserve"> share the ambition of improving citizens’ health, providing optimal prevention and universal access to safe, effective and efficient healthcare</w:t>
      </w:r>
      <w:r w:rsidR="001933FD">
        <w:rPr>
          <w:lang w:val="en-GB"/>
        </w:rPr>
        <w:t xml:space="preserve"> in a financially sustainable way</w:t>
      </w:r>
      <w:r w:rsidR="009979B5" w:rsidRPr="009979B5">
        <w:rPr>
          <w:lang w:val="en-GB"/>
        </w:rPr>
        <w:t xml:space="preserve">. Ageing, technical innovations and growing citizen expectations increase the pressure on health systems. To make the most of health spending and investments at EU and Member State level, pro-active policy and decision making should be based on </w:t>
      </w:r>
      <w:r w:rsidR="006C09D1">
        <w:rPr>
          <w:lang w:val="en-GB"/>
        </w:rPr>
        <w:t xml:space="preserve">accurate and up-to-date information regarding </w:t>
      </w:r>
      <w:r w:rsidR="009979B5" w:rsidRPr="009979B5">
        <w:rPr>
          <w:lang w:val="en-GB"/>
        </w:rPr>
        <w:t xml:space="preserve">population health </w:t>
      </w:r>
      <w:r w:rsidR="006C09D1">
        <w:rPr>
          <w:lang w:val="en-GB"/>
        </w:rPr>
        <w:t xml:space="preserve">dynamics </w:t>
      </w:r>
      <w:r w:rsidR="009979B5" w:rsidRPr="009979B5">
        <w:rPr>
          <w:lang w:val="en-GB"/>
        </w:rPr>
        <w:t>and health system performance</w:t>
      </w:r>
      <w:r w:rsidR="006C09D1">
        <w:rPr>
          <w:lang w:val="en-GB"/>
        </w:rPr>
        <w:t xml:space="preserve">, and on </w:t>
      </w:r>
      <w:r w:rsidR="006C09D1" w:rsidRPr="009979B5">
        <w:rPr>
          <w:lang w:val="en-GB"/>
        </w:rPr>
        <w:t>thorough research outcomes</w:t>
      </w:r>
      <w:r w:rsidR="00F26894">
        <w:rPr>
          <w:lang w:val="en-GB"/>
        </w:rPr>
        <w:t xml:space="preserve"> resulting </w:t>
      </w:r>
      <w:r w:rsidR="006C09D1" w:rsidRPr="009979B5">
        <w:rPr>
          <w:lang w:val="en-GB"/>
        </w:rPr>
        <w:t>in a good and timely understanding of</w:t>
      </w:r>
      <w:r w:rsidR="00F26894">
        <w:rPr>
          <w:lang w:val="en-GB"/>
        </w:rPr>
        <w:t xml:space="preserve"> their determinants</w:t>
      </w:r>
      <w:r w:rsidR="009979B5" w:rsidRPr="009979B5">
        <w:rPr>
          <w:lang w:val="en-GB"/>
        </w:rPr>
        <w:t>.</w:t>
      </w:r>
    </w:p>
    <w:p w14:paraId="55C803F4" w14:textId="635A8626" w:rsidR="00196179" w:rsidRDefault="00DC7B38" w:rsidP="00017D05">
      <w:r>
        <w:rPr>
          <w:lang w:val="en-GB"/>
        </w:rPr>
        <w:t>A strong working basis for gathering and providing health data</w:t>
      </w:r>
      <w:r w:rsidR="00196179">
        <w:rPr>
          <w:lang w:val="en-GB"/>
        </w:rPr>
        <w:t xml:space="preserve"> </w:t>
      </w:r>
      <w:r>
        <w:rPr>
          <w:lang w:val="en-GB"/>
        </w:rPr>
        <w:t>is</w:t>
      </w:r>
      <w:r w:rsidR="00196179">
        <w:rPr>
          <w:lang w:val="en-GB"/>
        </w:rPr>
        <w:t xml:space="preserve"> </w:t>
      </w:r>
      <w:r>
        <w:rPr>
          <w:lang w:val="en-GB"/>
        </w:rPr>
        <w:t>provided</w:t>
      </w:r>
      <w:r w:rsidR="00196179">
        <w:rPr>
          <w:lang w:val="en-GB"/>
        </w:rPr>
        <w:t xml:space="preserve"> </w:t>
      </w:r>
      <w:r w:rsidR="00196179" w:rsidRPr="00196179">
        <w:rPr>
          <w:lang w:val="en-GB"/>
        </w:rPr>
        <w:t xml:space="preserve">by EU agencies and the European Commission, such as Eurostat, </w:t>
      </w:r>
      <w:r w:rsidR="00377F55" w:rsidRPr="00033B8B">
        <w:rPr>
          <w:lang w:val="en-GB"/>
        </w:rPr>
        <w:t xml:space="preserve">European Centre for Disease Prevention and Control </w:t>
      </w:r>
      <w:r w:rsidR="00377F55">
        <w:rPr>
          <w:lang w:val="en-GB"/>
        </w:rPr>
        <w:t xml:space="preserve">(ECDC) or the </w:t>
      </w:r>
      <w:r w:rsidR="00377F55" w:rsidRPr="00033B8B">
        <w:rPr>
          <w:lang w:val="en-GB"/>
        </w:rPr>
        <w:t>Joint Research Centre</w:t>
      </w:r>
      <w:r w:rsidR="00377F55">
        <w:rPr>
          <w:lang w:val="en-GB"/>
        </w:rPr>
        <w:t xml:space="preserve"> (JRC)</w:t>
      </w:r>
      <w:r w:rsidR="00F26894">
        <w:rPr>
          <w:lang w:val="en-GB"/>
        </w:rPr>
        <w:t xml:space="preserve">, </w:t>
      </w:r>
      <w:r w:rsidR="00196179" w:rsidRPr="00196179">
        <w:rPr>
          <w:lang w:val="en-GB"/>
        </w:rPr>
        <w:t>and other international organisations, such as the Organisation for Economic Cooperation and Development (OECD) and the World Health Organisation Regional Office for Europe (WHO-EUR).</w:t>
      </w:r>
      <w:r w:rsidR="00196179" w:rsidRPr="00196179">
        <w:t xml:space="preserve"> </w:t>
      </w:r>
      <w:r w:rsidR="00196179">
        <w:t xml:space="preserve">Also, </w:t>
      </w:r>
      <w:r w:rsidR="00196179" w:rsidRPr="00196179">
        <w:rPr>
          <w:lang w:val="en-GB"/>
        </w:rPr>
        <w:t>EU health information projects have provided useful research output. However,</w:t>
      </w:r>
      <w:r w:rsidR="00196179" w:rsidRPr="00196179">
        <w:rPr>
          <w:rFonts w:asciiTheme="minorHAnsi" w:hAnsiTheme="minorHAnsi"/>
        </w:rPr>
        <w:t xml:space="preserve"> </w:t>
      </w:r>
      <w:r w:rsidR="00196179" w:rsidRPr="00196179">
        <w:t>three key issues inhibit the availability and use of health information</w:t>
      </w:r>
      <w:r w:rsidR="00196179">
        <w:t xml:space="preserve"> for </w:t>
      </w:r>
      <w:r>
        <w:t xml:space="preserve">research </w:t>
      </w:r>
      <w:r w:rsidR="00196179">
        <w:t>and</w:t>
      </w:r>
      <w:r w:rsidRPr="00DC7B38">
        <w:t xml:space="preserve"> </w:t>
      </w:r>
      <w:r>
        <w:t>policy-making</w:t>
      </w:r>
      <w:r w:rsidR="00196179">
        <w:t>: 1)</w:t>
      </w:r>
      <w:r w:rsidR="00196179" w:rsidRPr="00196179">
        <w:rPr>
          <w:rFonts w:asciiTheme="minorHAnsi" w:hAnsiTheme="minorHAnsi"/>
        </w:rPr>
        <w:t xml:space="preserve"> </w:t>
      </w:r>
      <w:r w:rsidR="00196179">
        <w:t>m</w:t>
      </w:r>
      <w:r w:rsidR="00196179" w:rsidRPr="00196179">
        <w:t>uch of the gathered evidence and knowledge is still dispersed, incomplete and difficult to access</w:t>
      </w:r>
      <w:r w:rsidR="00196179">
        <w:t>, 2)</w:t>
      </w:r>
      <w:r w:rsidR="00196179" w:rsidRPr="00196179">
        <w:rPr>
          <w:rFonts w:asciiTheme="minorHAnsi" w:hAnsiTheme="minorHAnsi"/>
        </w:rPr>
        <w:t xml:space="preserve"> </w:t>
      </w:r>
      <w:r w:rsidR="00196179">
        <w:t>l</w:t>
      </w:r>
      <w:r w:rsidR="00196179" w:rsidRPr="00196179">
        <w:t>arge differences can be found in terms of quality and, as a consequence, comparability of health information b</w:t>
      </w:r>
      <w:r w:rsidR="00196179">
        <w:t xml:space="preserve">etween and within </w:t>
      </w:r>
      <w:r w:rsidR="008319FB">
        <w:t>EU countries</w:t>
      </w:r>
      <w:r w:rsidR="00196179">
        <w:t>, and 3) a wide range of h</w:t>
      </w:r>
      <w:r w:rsidR="00196179" w:rsidRPr="00196179">
        <w:t>ealth information activities are funded through ad hoc projects rather than through sustainable structures</w:t>
      </w:r>
      <w:r>
        <w:t>.</w:t>
      </w:r>
      <w:r w:rsidR="004C2493">
        <w:t xml:space="preserve"> Additionally, </w:t>
      </w:r>
      <w:r w:rsidR="004C2493" w:rsidRPr="004C2493">
        <w:t>the evidence and knowledge produced by research using these data are not always readily available and may need further analyses, syntheses and translations to inform policy making.</w:t>
      </w:r>
    </w:p>
    <w:p w14:paraId="754C7B8F" w14:textId="13770752" w:rsidR="00DC7B38" w:rsidRPr="00DC7B38" w:rsidRDefault="00DC7B38" w:rsidP="00DC7B38">
      <w:pPr>
        <w:rPr>
          <w:lang w:val="en-GB"/>
        </w:rPr>
      </w:pPr>
      <w:r>
        <w:t>T</w:t>
      </w:r>
      <w:r w:rsidRPr="00DC7B38">
        <w:rPr>
          <w:lang w:val="en-GB"/>
        </w:rPr>
        <w:t xml:space="preserve">he creation of a European Research Infrastructure Consortium (ERIC) to collect, process, analyse, report, and communicate health information can overcome these obstacles and can facilitate the governance of health information activities in the EU </w:t>
      </w:r>
      <w:r>
        <w:rPr>
          <w:lang w:val="en-GB"/>
        </w:rPr>
        <w:t>to a</w:t>
      </w:r>
      <w:r w:rsidR="00452753">
        <w:rPr>
          <w:lang w:val="en-GB"/>
        </w:rPr>
        <w:t xml:space="preserve">llow comparative </w:t>
      </w:r>
      <w:r w:rsidR="00346771">
        <w:rPr>
          <w:lang w:val="en-GB"/>
        </w:rPr>
        <w:t xml:space="preserve">descriptive analyses and to facilitate </w:t>
      </w:r>
      <w:r w:rsidR="00452753">
        <w:rPr>
          <w:lang w:val="en-GB"/>
        </w:rPr>
        <w:t>research for mu</w:t>
      </w:r>
      <w:r>
        <w:rPr>
          <w:lang w:val="en-GB"/>
        </w:rPr>
        <w:t>lti-level policy use</w:t>
      </w:r>
      <w:r w:rsidRPr="00DC7B38">
        <w:rPr>
          <w:lang w:val="en-GB"/>
        </w:rPr>
        <w:t xml:space="preserve"> and </w:t>
      </w:r>
      <w:r w:rsidR="00452753">
        <w:rPr>
          <w:lang w:val="en-GB"/>
        </w:rPr>
        <w:t xml:space="preserve">targeted </w:t>
      </w:r>
      <w:r w:rsidRPr="00DC7B38">
        <w:rPr>
          <w:lang w:val="en-GB"/>
        </w:rPr>
        <w:t>investments.</w:t>
      </w:r>
    </w:p>
    <w:p w14:paraId="122D0793" w14:textId="6A1D6911" w:rsidR="009979B5" w:rsidRDefault="009979B5" w:rsidP="00017D05">
      <w:pPr>
        <w:rPr>
          <w:lang w:val="en-GB"/>
        </w:rPr>
      </w:pPr>
      <w:r w:rsidRPr="009979B5">
        <w:rPr>
          <w:lang w:val="en-GB"/>
        </w:rPr>
        <w:t>The ERIC builds its work on networks of national experts that will take</w:t>
      </w:r>
      <w:r>
        <w:rPr>
          <w:lang w:val="en-GB"/>
        </w:rPr>
        <w:t xml:space="preserve"> up data definition</w:t>
      </w:r>
      <w:r w:rsidR="00F61922">
        <w:rPr>
          <w:lang w:val="en-GB"/>
        </w:rPr>
        <w:t xml:space="preserve">, </w:t>
      </w:r>
      <w:r w:rsidR="00967474">
        <w:rPr>
          <w:lang w:val="en-GB"/>
        </w:rPr>
        <w:t>interoperability</w:t>
      </w:r>
      <w:r>
        <w:rPr>
          <w:lang w:val="en-GB"/>
        </w:rPr>
        <w:t xml:space="preserve"> and harmonis</w:t>
      </w:r>
      <w:r w:rsidRPr="009979B5">
        <w:rPr>
          <w:lang w:val="en-GB"/>
        </w:rPr>
        <w:t>ation, central management, scientific analyses and reporting</w:t>
      </w:r>
      <w:r w:rsidR="00D31DDE">
        <w:rPr>
          <w:lang w:val="en-GB"/>
        </w:rPr>
        <w:t xml:space="preserve"> of health information on population health and health care systems</w:t>
      </w:r>
      <w:r w:rsidRPr="009979B5">
        <w:rPr>
          <w:lang w:val="en-GB"/>
        </w:rPr>
        <w:t xml:space="preserve">. </w:t>
      </w:r>
      <w:r w:rsidR="00452753">
        <w:rPr>
          <w:lang w:val="en-GB"/>
        </w:rPr>
        <w:t xml:space="preserve">It </w:t>
      </w:r>
      <w:r w:rsidR="00452753" w:rsidRPr="00452753">
        <w:rPr>
          <w:lang w:val="en-GB"/>
        </w:rPr>
        <w:t>provides central governance for regular availability and easy access to high quality and comparable data from</w:t>
      </w:r>
      <w:r w:rsidR="008319FB">
        <w:rPr>
          <w:lang w:val="en-GB"/>
        </w:rPr>
        <w:t xml:space="preserve"> EU countries</w:t>
      </w:r>
      <w:r w:rsidR="00452753" w:rsidRPr="00452753">
        <w:rPr>
          <w:lang w:val="en-GB"/>
        </w:rPr>
        <w:t xml:space="preserve"> for research purposes at </w:t>
      </w:r>
      <w:r w:rsidR="008319FB">
        <w:rPr>
          <w:lang w:val="en-GB"/>
        </w:rPr>
        <w:t>national</w:t>
      </w:r>
      <w:r w:rsidR="00452753" w:rsidRPr="00452753">
        <w:rPr>
          <w:lang w:val="en-GB"/>
        </w:rPr>
        <w:t>, EU and international level in fields of population health monitoring and health system performance assessment</w:t>
      </w:r>
      <w:r w:rsidR="00452753">
        <w:rPr>
          <w:lang w:val="en-GB"/>
        </w:rPr>
        <w:t xml:space="preserve">. </w:t>
      </w:r>
      <w:r w:rsidRPr="009979B5">
        <w:rPr>
          <w:lang w:val="en-GB"/>
        </w:rPr>
        <w:t xml:space="preserve">The ERIC will </w:t>
      </w:r>
      <w:r w:rsidR="00F61922">
        <w:rPr>
          <w:lang w:val="en-GB"/>
        </w:rPr>
        <w:t>foster</w:t>
      </w:r>
      <w:r w:rsidR="00967474">
        <w:rPr>
          <w:lang w:val="en-GB"/>
        </w:rPr>
        <w:t xml:space="preserve"> interoperability of the EU cou</w:t>
      </w:r>
      <w:r w:rsidR="00F61922">
        <w:rPr>
          <w:lang w:val="en-GB"/>
        </w:rPr>
        <w:t>ntries health information infrastructure through investments</w:t>
      </w:r>
      <w:r w:rsidR="00F61922" w:rsidRPr="009979B5">
        <w:rPr>
          <w:lang w:val="en-GB"/>
        </w:rPr>
        <w:t xml:space="preserve"> </w:t>
      </w:r>
      <w:r w:rsidRPr="009979B5">
        <w:rPr>
          <w:lang w:val="en-GB"/>
        </w:rPr>
        <w:t>in sharing expertise, capacity building and create common methods and tools</w:t>
      </w:r>
      <w:r w:rsidR="003A1823" w:rsidRPr="003A1823">
        <w:t xml:space="preserve"> </w:t>
      </w:r>
      <w:r w:rsidR="003A1823">
        <w:t>f</w:t>
      </w:r>
      <w:r w:rsidR="003A1823" w:rsidRPr="003A1823">
        <w:t>or validation of indicators, data collection, analysis and knowledge translation</w:t>
      </w:r>
      <w:r w:rsidRPr="009979B5">
        <w:rPr>
          <w:lang w:val="en-GB"/>
        </w:rPr>
        <w:t xml:space="preserve">. The organised transfer of knowledge and expertise between national experts and policy makers will spread relevant knowhow and increase the timeliness of actions. </w:t>
      </w:r>
    </w:p>
    <w:p w14:paraId="64885829" w14:textId="77777777" w:rsidR="00C23DC4" w:rsidRPr="00D87086" w:rsidRDefault="00FA6D94" w:rsidP="00FA6D94">
      <w:pPr>
        <w:pStyle w:val="Heading1"/>
        <w:pageBreakBefore/>
      </w:pPr>
      <w:bookmarkStart w:id="1" w:name="_Toc469063792"/>
      <w:r w:rsidRPr="00D87086">
        <w:lastRenderedPageBreak/>
        <w:t>T</w:t>
      </w:r>
      <w:r w:rsidR="00E111C7" w:rsidRPr="00D87086">
        <w:t>he</w:t>
      </w:r>
      <w:r w:rsidR="0090043D" w:rsidRPr="00D87086">
        <w:t xml:space="preserve"> current EU health information </w:t>
      </w:r>
      <w:r w:rsidRPr="00D87086">
        <w:t>situation</w:t>
      </w:r>
      <w:bookmarkEnd w:id="1"/>
    </w:p>
    <w:p w14:paraId="5DAAFADA" w14:textId="77777777" w:rsidR="001A6F31" w:rsidRPr="00D87086" w:rsidRDefault="001A6F31" w:rsidP="001A6F31">
      <w:pPr>
        <w:rPr>
          <w:lang w:val="en-GB"/>
        </w:rPr>
      </w:pPr>
      <w:r w:rsidRPr="00D87086">
        <w:rPr>
          <w:lang w:val="en-GB"/>
        </w:rPr>
        <w:t>In the past, EU health information research and evidence for policy has been taken forward through major investments in individual and independent EU projects and through the work of the European Commission and large international organisations</w:t>
      </w:r>
      <w:r w:rsidR="009B34DE" w:rsidRPr="009B34DE">
        <w:rPr>
          <w:lang w:val="en-GB"/>
        </w:rPr>
        <w:t xml:space="preserve"> </w:t>
      </w:r>
      <w:r w:rsidR="009B34DE">
        <w:rPr>
          <w:lang w:val="en-GB"/>
        </w:rPr>
        <w:t xml:space="preserve">such as the </w:t>
      </w:r>
      <w:r w:rsidR="009B34DE" w:rsidRPr="009B34DE">
        <w:rPr>
          <w:lang w:val="en-GB"/>
        </w:rPr>
        <w:t>World Health Organisation (WHO) and the Organisation for Economic Co-operation and Development (OECD).</w:t>
      </w:r>
    </w:p>
    <w:p w14:paraId="036674DC" w14:textId="0229DA27" w:rsidR="001A6F31" w:rsidRPr="00D87086" w:rsidRDefault="001A6F31" w:rsidP="001A6F31">
      <w:pPr>
        <w:rPr>
          <w:lang w:val="en-GB"/>
        </w:rPr>
      </w:pPr>
      <w:r w:rsidRPr="00D87086">
        <w:rPr>
          <w:lang w:val="en-GB"/>
        </w:rPr>
        <w:t xml:space="preserve">Under the EU Health Monitoring Programme, </w:t>
      </w:r>
      <w:r w:rsidR="003E5AF9">
        <w:rPr>
          <w:lang w:val="en-GB"/>
        </w:rPr>
        <w:t xml:space="preserve">the </w:t>
      </w:r>
      <w:r w:rsidRPr="00D87086">
        <w:rPr>
          <w:lang w:val="en-GB"/>
        </w:rPr>
        <w:t xml:space="preserve">EU Health Programme and the EU Framework Programmes, </w:t>
      </w:r>
      <w:r w:rsidR="003E5AF9">
        <w:rPr>
          <w:lang w:val="en-GB"/>
        </w:rPr>
        <w:t xml:space="preserve">various </w:t>
      </w:r>
      <w:r w:rsidRPr="00D87086">
        <w:rPr>
          <w:lang w:val="en-GB"/>
        </w:rPr>
        <w:t xml:space="preserve">EU projects have provided useful </w:t>
      </w:r>
      <w:r w:rsidR="00730CF0">
        <w:rPr>
          <w:lang w:val="en-GB"/>
        </w:rPr>
        <w:t xml:space="preserve">information and </w:t>
      </w:r>
      <w:r w:rsidRPr="00D87086">
        <w:rPr>
          <w:lang w:val="en-GB"/>
        </w:rPr>
        <w:t>research</w:t>
      </w:r>
      <w:r w:rsidR="004C7E58">
        <w:rPr>
          <w:lang w:val="en-GB"/>
        </w:rPr>
        <w:t xml:space="preserve"> on the state of affairs, trends and country-differences in health-related subjects</w:t>
      </w:r>
      <w:r w:rsidR="007E25D9">
        <w:rPr>
          <w:lang w:val="en-GB"/>
        </w:rPr>
        <w:t xml:space="preserve"> as well as explanations and</w:t>
      </w:r>
      <w:r w:rsidR="003E5AF9">
        <w:rPr>
          <w:lang w:val="en-GB"/>
        </w:rPr>
        <w:t xml:space="preserve"> evidence to</w:t>
      </w:r>
      <w:r w:rsidRPr="00D87086">
        <w:rPr>
          <w:lang w:val="en-GB"/>
        </w:rPr>
        <w:t xml:space="preserve"> national a</w:t>
      </w:r>
      <w:r w:rsidR="00CD4399" w:rsidRPr="00D87086">
        <w:rPr>
          <w:lang w:val="en-GB"/>
        </w:rPr>
        <w:t>nd European decision-makers (1-3</w:t>
      </w:r>
      <w:r w:rsidRPr="00D87086">
        <w:rPr>
          <w:lang w:val="en-GB"/>
        </w:rPr>
        <w:t xml:space="preserve">). They harmonised and collected </w:t>
      </w:r>
      <w:r w:rsidR="004C7E58">
        <w:rPr>
          <w:lang w:val="en-GB"/>
        </w:rPr>
        <w:t xml:space="preserve">health </w:t>
      </w:r>
      <w:r w:rsidRPr="00D87086">
        <w:rPr>
          <w:lang w:val="en-GB"/>
        </w:rPr>
        <w:t>data</w:t>
      </w:r>
      <w:r w:rsidR="003E5AF9">
        <w:rPr>
          <w:lang w:val="en-GB"/>
        </w:rPr>
        <w:t xml:space="preserve"> across countries</w:t>
      </w:r>
      <w:r w:rsidRPr="00D87086">
        <w:rPr>
          <w:lang w:val="en-GB"/>
        </w:rPr>
        <w:t>, created strong EU-wide research networks</w:t>
      </w:r>
      <w:r w:rsidRPr="004C7100">
        <w:rPr>
          <w:lang w:val="en-GB"/>
        </w:rPr>
        <w:t>,</w:t>
      </w:r>
      <w:r w:rsidR="003E5AF9">
        <w:rPr>
          <w:lang w:val="en-GB"/>
        </w:rPr>
        <w:t xml:space="preserve"> exchanged best practices</w:t>
      </w:r>
      <w:r w:rsidRPr="00D87086">
        <w:rPr>
          <w:lang w:val="en-GB"/>
        </w:rPr>
        <w:t>, established working protocols, produced research articles, helped to pool scarce resources and reduced the burden of health reporting at both Member State and European level.</w:t>
      </w:r>
      <w:r w:rsidR="00033B8B">
        <w:rPr>
          <w:lang w:val="en-GB"/>
        </w:rPr>
        <w:t xml:space="preserve"> They also</w:t>
      </w:r>
      <w:r w:rsidR="00033B8B" w:rsidRPr="00033B8B">
        <w:t xml:space="preserve"> </w:t>
      </w:r>
      <w:r w:rsidR="00033B8B">
        <w:t>defi</w:t>
      </w:r>
      <w:r w:rsidR="00033B8B" w:rsidRPr="00033B8B">
        <w:t>n</w:t>
      </w:r>
      <w:r w:rsidR="00033B8B">
        <w:t xml:space="preserve">ed and validated </w:t>
      </w:r>
      <w:r w:rsidR="00033B8B" w:rsidRPr="00033B8B">
        <w:t xml:space="preserve">indicators, and </w:t>
      </w:r>
      <w:r w:rsidR="00377F55">
        <w:t>carried out research</w:t>
      </w:r>
      <w:r w:rsidR="00033B8B" w:rsidRPr="00033B8B">
        <w:t xml:space="preserve"> using these indicator</w:t>
      </w:r>
      <w:r w:rsidR="00377F55">
        <w:t>s or the data they are based on.</w:t>
      </w:r>
      <w:r w:rsidRPr="00D87086">
        <w:rPr>
          <w:lang w:val="en-GB"/>
        </w:rPr>
        <w:t xml:space="preserve"> These projects have demonstrated that there are significant gaps and deficiencies that need to be overcome such as</w:t>
      </w:r>
      <w:r w:rsidR="0031240C">
        <w:rPr>
          <w:lang w:val="en-GB"/>
        </w:rPr>
        <w:t>:</w:t>
      </w:r>
      <w:r w:rsidRPr="00D87086">
        <w:rPr>
          <w:lang w:val="en-GB"/>
        </w:rPr>
        <w:t xml:space="preserve"> </w:t>
      </w:r>
    </w:p>
    <w:p w14:paraId="0C9DD279" w14:textId="77777777" w:rsidR="001A6F31" w:rsidRPr="00D87086" w:rsidRDefault="001A6F31" w:rsidP="00890E38">
      <w:pPr>
        <w:pStyle w:val="ListParagraph"/>
        <w:numPr>
          <w:ilvl w:val="0"/>
          <w:numId w:val="4"/>
        </w:numPr>
        <w:rPr>
          <w:lang w:val="en-GB"/>
        </w:rPr>
      </w:pPr>
      <w:r w:rsidRPr="00D87086">
        <w:rPr>
          <w:lang w:val="en-GB"/>
        </w:rPr>
        <w:t xml:space="preserve">diversity of health information </w:t>
      </w:r>
      <w:r w:rsidR="003E5AF9">
        <w:rPr>
          <w:lang w:val="en-GB"/>
        </w:rPr>
        <w:t>(infra)</w:t>
      </w:r>
      <w:r w:rsidRPr="00D87086">
        <w:rPr>
          <w:lang w:val="en-GB"/>
        </w:rPr>
        <w:t xml:space="preserve">structures in Europe; </w:t>
      </w:r>
    </w:p>
    <w:p w14:paraId="1DA0286D" w14:textId="77777777" w:rsidR="001A6F31" w:rsidRPr="00D87086" w:rsidRDefault="001A6F31" w:rsidP="00890E38">
      <w:pPr>
        <w:pStyle w:val="ListParagraph"/>
        <w:numPr>
          <w:ilvl w:val="0"/>
          <w:numId w:val="4"/>
        </w:numPr>
        <w:rPr>
          <w:lang w:val="en-GB"/>
        </w:rPr>
      </w:pPr>
      <w:r w:rsidRPr="00D87086">
        <w:rPr>
          <w:lang w:val="en-GB"/>
        </w:rPr>
        <w:t xml:space="preserve">fragmentation of databases and registries; </w:t>
      </w:r>
    </w:p>
    <w:p w14:paraId="243BA77B" w14:textId="77777777" w:rsidR="001A6F31" w:rsidRPr="00D87086" w:rsidRDefault="001A6F31" w:rsidP="00890E38">
      <w:pPr>
        <w:pStyle w:val="ListParagraph"/>
        <w:numPr>
          <w:ilvl w:val="0"/>
          <w:numId w:val="4"/>
        </w:numPr>
        <w:rPr>
          <w:lang w:val="en-GB"/>
        </w:rPr>
      </w:pPr>
      <w:r w:rsidRPr="00D87086">
        <w:rPr>
          <w:lang w:val="en-GB"/>
        </w:rPr>
        <w:t xml:space="preserve">health information </w:t>
      </w:r>
      <w:r w:rsidRPr="004C7100">
        <w:rPr>
          <w:lang w:val="en-GB"/>
        </w:rPr>
        <w:t>inequalit</w:t>
      </w:r>
      <w:r w:rsidR="003E5AF9">
        <w:rPr>
          <w:lang w:val="en-GB"/>
        </w:rPr>
        <w:t>ies</w:t>
      </w:r>
      <w:r w:rsidR="00D87086" w:rsidRPr="00D87086">
        <w:rPr>
          <w:lang w:val="en-GB"/>
        </w:rPr>
        <w:t xml:space="preserve"> regarding the availability and quality</w:t>
      </w:r>
      <w:r w:rsidRPr="00D87086">
        <w:rPr>
          <w:lang w:val="en-GB"/>
        </w:rPr>
        <w:t xml:space="preserve">; and </w:t>
      </w:r>
    </w:p>
    <w:p w14:paraId="53DCC958" w14:textId="0E0A9EDD" w:rsidR="00D31DDE" w:rsidRPr="00EB272C" w:rsidRDefault="001A6F31" w:rsidP="00EB272C">
      <w:pPr>
        <w:pStyle w:val="ListParagraph"/>
        <w:numPr>
          <w:ilvl w:val="0"/>
          <w:numId w:val="4"/>
        </w:numPr>
        <w:spacing w:after="240"/>
        <w:rPr>
          <w:lang w:val="en-GB"/>
        </w:rPr>
      </w:pPr>
      <w:proofErr w:type="gramStart"/>
      <w:r w:rsidRPr="00D87086">
        <w:rPr>
          <w:lang w:val="en-GB"/>
        </w:rPr>
        <w:t>lack</w:t>
      </w:r>
      <w:proofErr w:type="gramEnd"/>
      <w:r w:rsidRPr="00D87086">
        <w:rPr>
          <w:lang w:val="en-GB"/>
        </w:rPr>
        <w:t xml:space="preserve"> of sustainability of health information activities. </w:t>
      </w:r>
    </w:p>
    <w:p w14:paraId="2B1F291A" w14:textId="00ADEBEC" w:rsidR="001A6F31" w:rsidRPr="00D87086" w:rsidRDefault="001A6F31" w:rsidP="001A6F31">
      <w:pPr>
        <w:rPr>
          <w:lang w:val="en-GB"/>
        </w:rPr>
      </w:pPr>
      <w:r w:rsidRPr="00D87086">
        <w:rPr>
          <w:lang w:val="en-GB"/>
        </w:rPr>
        <w:t xml:space="preserve">There is no </w:t>
      </w:r>
      <w:r w:rsidR="003E5AF9">
        <w:rPr>
          <w:lang w:val="en-GB"/>
        </w:rPr>
        <w:t>established</w:t>
      </w:r>
      <w:r w:rsidRPr="004C7100">
        <w:rPr>
          <w:lang w:val="en-GB"/>
        </w:rPr>
        <w:t xml:space="preserve"> </w:t>
      </w:r>
      <w:r w:rsidRPr="00D87086">
        <w:rPr>
          <w:lang w:val="en-GB"/>
        </w:rPr>
        <w:t>mechanism to include</w:t>
      </w:r>
      <w:r w:rsidRPr="004C7100">
        <w:rPr>
          <w:lang w:val="en-GB"/>
        </w:rPr>
        <w:t xml:space="preserve"> </w:t>
      </w:r>
      <w:r w:rsidR="003E5AF9">
        <w:rPr>
          <w:lang w:val="en-GB"/>
        </w:rPr>
        <w:t>the</w:t>
      </w:r>
      <w:r w:rsidRPr="00D87086">
        <w:rPr>
          <w:lang w:val="en-GB"/>
        </w:rPr>
        <w:t xml:space="preserve"> results of these projects in the European Statistical System, as stipulated by ‘Regulation 1338/2008 on the community statistics on public health </w:t>
      </w:r>
      <w:r w:rsidR="00CD4399" w:rsidRPr="00D87086">
        <w:rPr>
          <w:lang w:val="en-GB"/>
        </w:rPr>
        <w:t xml:space="preserve">and health and safety at </w:t>
      </w:r>
      <w:r w:rsidR="009B34DE" w:rsidRPr="00D87086">
        <w:rPr>
          <w:lang w:val="en-GB"/>
        </w:rPr>
        <w:t>work’ (</w:t>
      </w:r>
      <w:r w:rsidR="00CD4399" w:rsidRPr="00D87086">
        <w:rPr>
          <w:lang w:val="en-GB"/>
        </w:rPr>
        <w:t>4</w:t>
      </w:r>
      <w:r w:rsidRPr="00D87086">
        <w:rPr>
          <w:lang w:val="en-GB"/>
        </w:rPr>
        <w:t xml:space="preserve">). Previous major investments </w:t>
      </w:r>
      <w:r w:rsidR="003E5AF9">
        <w:rPr>
          <w:lang w:val="en-GB"/>
        </w:rPr>
        <w:t>may therefore</w:t>
      </w:r>
      <w:r w:rsidR="009B34DE">
        <w:rPr>
          <w:lang w:val="en-GB"/>
        </w:rPr>
        <w:t xml:space="preserve"> </w:t>
      </w:r>
      <w:r w:rsidRPr="00D87086">
        <w:rPr>
          <w:lang w:val="en-GB"/>
        </w:rPr>
        <w:t>go to waste as sustainability can</w:t>
      </w:r>
      <w:r w:rsidR="00CD4399" w:rsidRPr="00D87086">
        <w:rPr>
          <w:lang w:val="en-GB"/>
        </w:rPr>
        <w:t>not be assured (5</w:t>
      </w:r>
      <w:r w:rsidRPr="004C7100">
        <w:rPr>
          <w:lang w:val="en-GB"/>
        </w:rPr>
        <w:t>)</w:t>
      </w:r>
      <w:r w:rsidR="003E5AF9">
        <w:rPr>
          <w:lang w:val="en-GB"/>
        </w:rPr>
        <w:t xml:space="preserve"> and </w:t>
      </w:r>
      <w:r w:rsidR="0031240C">
        <w:rPr>
          <w:lang w:val="en-GB"/>
        </w:rPr>
        <w:t xml:space="preserve">major inefficiencies may arise. </w:t>
      </w:r>
      <w:r w:rsidRPr="004C7100">
        <w:rPr>
          <w:lang w:val="en-GB"/>
        </w:rPr>
        <w:t>This</w:t>
      </w:r>
      <w:r w:rsidR="004C7E58">
        <w:rPr>
          <w:lang w:val="en-GB"/>
        </w:rPr>
        <w:t xml:space="preserve"> lack of </w:t>
      </w:r>
      <w:r w:rsidR="003A1823">
        <w:rPr>
          <w:lang w:val="en-GB"/>
        </w:rPr>
        <w:t xml:space="preserve">research continuity and </w:t>
      </w:r>
      <w:r w:rsidR="004C7E58">
        <w:rPr>
          <w:lang w:val="en-GB"/>
        </w:rPr>
        <w:t>continuity</w:t>
      </w:r>
      <w:r w:rsidRPr="00D87086">
        <w:rPr>
          <w:lang w:val="en-GB"/>
        </w:rPr>
        <w:t xml:space="preserve"> </w:t>
      </w:r>
      <w:r w:rsidR="00C47E36">
        <w:rPr>
          <w:lang w:val="en-GB"/>
        </w:rPr>
        <w:t xml:space="preserve">in utilizing the </w:t>
      </w:r>
      <w:r w:rsidR="0044042D">
        <w:rPr>
          <w:lang w:val="en-GB"/>
        </w:rPr>
        <w:t>outcomes</w:t>
      </w:r>
      <w:r w:rsidR="00C47E36">
        <w:rPr>
          <w:lang w:val="en-GB"/>
        </w:rPr>
        <w:t xml:space="preserve"> of these projects </w:t>
      </w:r>
      <w:r w:rsidRPr="00D87086">
        <w:rPr>
          <w:lang w:val="en-GB"/>
        </w:rPr>
        <w:t>will result in losing expertise, active data collection mechanisms and research capacity</w:t>
      </w:r>
      <w:r w:rsidR="00D87086" w:rsidRPr="00D87086">
        <w:rPr>
          <w:lang w:val="en-GB"/>
        </w:rPr>
        <w:t xml:space="preserve"> as well as </w:t>
      </w:r>
      <w:r w:rsidR="00FD3D45">
        <w:rPr>
          <w:lang w:val="en-GB"/>
        </w:rPr>
        <w:t xml:space="preserve">in </w:t>
      </w:r>
      <w:r w:rsidR="00D87086" w:rsidRPr="00D87086">
        <w:rPr>
          <w:lang w:val="en-GB"/>
        </w:rPr>
        <w:t>outdated protocols and networks</w:t>
      </w:r>
      <w:r w:rsidRPr="00D87086">
        <w:rPr>
          <w:lang w:val="en-GB"/>
        </w:rPr>
        <w:t xml:space="preserve">. As concluded by the European </w:t>
      </w:r>
      <w:r w:rsidR="00E264C9" w:rsidRPr="00D87086">
        <w:rPr>
          <w:lang w:val="en-GB"/>
        </w:rPr>
        <w:t>C</w:t>
      </w:r>
      <w:r w:rsidR="00E264C9">
        <w:rPr>
          <w:lang w:val="en-GB"/>
        </w:rPr>
        <w:t>ore</w:t>
      </w:r>
      <w:r w:rsidR="00E264C9" w:rsidRPr="00D87086">
        <w:rPr>
          <w:lang w:val="en-GB"/>
        </w:rPr>
        <w:t xml:space="preserve"> </w:t>
      </w:r>
      <w:r w:rsidRPr="00D87086">
        <w:rPr>
          <w:lang w:val="en-GB"/>
        </w:rPr>
        <w:t>Health Indicators (ECHI) and consecutive activities, “further efforts at DG SANCO and Eurostat are needed towards a permanent health monitoring system” (</w:t>
      </w:r>
      <w:r w:rsidR="00CD4399" w:rsidRPr="00D87086">
        <w:rPr>
          <w:lang w:val="en-GB"/>
        </w:rPr>
        <w:t>6</w:t>
      </w:r>
      <w:r w:rsidRPr="00D87086">
        <w:rPr>
          <w:lang w:val="en-GB"/>
        </w:rPr>
        <w:t>).</w:t>
      </w:r>
    </w:p>
    <w:p w14:paraId="65789599" w14:textId="77777777" w:rsidR="001A6F31" w:rsidRPr="00D87086" w:rsidRDefault="001A6F31" w:rsidP="001A6F31">
      <w:pPr>
        <w:rPr>
          <w:lang w:val="en-GB"/>
        </w:rPr>
      </w:pPr>
      <w:r w:rsidRPr="00D87086">
        <w:rPr>
          <w:lang w:val="en-GB"/>
        </w:rPr>
        <w:t xml:space="preserve">Under the </w:t>
      </w:r>
      <w:r w:rsidR="004C7E58">
        <w:rPr>
          <w:lang w:val="en-GB"/>
        </w:rPr>
        <w:t>co-ordination</w:t>
      </w:r>
      <w:r w:rsidRPr="00D87086">
        <w:rPr>
          <w:lang w:val="en-GB"/>
        </w:rPr>
        <w:t xml:space="preserve"> of Eurostat, the European Statistical System provides a solid working basis for gathering and providing </w:t>
      </w:r>
      <w:r w:rsidR="003E5AF9">
        <w:rPr>
          <w:lang w:val="en-GB"/>
        </w:rPr>
        <w:t xml:space="preserve">statistical </w:t>
      </w:r>
      <w:r w:rsidRPr="00D87086">
        <w:rPr>
          <w:lang w:val="en-GB"/>
        </w:rPr>
        <w:t>health data</w:t>
      </w:r>
      <w:r w:rsidR="00FD3D45">
        <w:rPr>
          <w:lang w:val="en-GB"/>
        </w:rPr>
        <w:t xml:space="preserve"> on</w:t>
      </w:r>
      <w:r w:rsidR="004C7E58">
        <w:rPr>
          <w:lang w:val="en-GB"/>
        </w:rPr>
        <w:t xml:space="preserve"> a regular basis</w:t>
      </w:r>
      <w:r w:rsidRPr="004C7100">
        <w:rPr>
          <w:lang w:val="en-GB"/>
        </w:rPr>
        <w:t>.</w:t>
      </w:r>
      <w:r w:rsidRPr="00D87086">
        <w:rPr>
          <w:lang w:val="en-GB"/>
        </w:rPr>
        <w:t xml:space="preserve"> </w:t>
      </w:r>
      <w:r w:rsidR="00F94262">
        <w:rPr>
          <w:lang w:val="en-GB"/>
        </w:rPr>
        <w:t xml:space="preserve">Also the WHO and the OECD gather and analyse health information. </w:t>
      </w:r>
      <w:r w:rsidRPr="00D87086">
        <w:rPr>
          <w:lang w:val="en-GB"/>
        </w:rPr>
        <w:t>The European Commission, WHO and OECD now coordinate a selection of statistical data collections and have increased their collaboration over the years. Eurostat, for example, as defined in the regulation 1338/2008, covers the following five areas of health information: health status and health determinants, healthcare, causes of death, accidents at work and occupational diseases and other work-related health problems and illnesses</w:t>
      </w:r>
      <w:r w:rsidR="00CD4399" w:rsidRPr="00D87086">
        <w:rPr>
          <w:lang w:val="en-GB"/>
        </w:rPr>
        <w:t xml:space="preserve"> (7-9</w:t>
      </w:r>
      <w:r w:rsidRPr="00D87086">
        <w:rPr>
          <w:lang w:val="en-GB"/>
        </w:rPr>
        <w:t>). In the eyes of stakeholders in the health information area, international organisations do not yet collaborate most efficiently</w:t>
      </w:r>
      <w:r w:rsidR="003E5AF9">
        <w:rPr>
          <w:lang w:val="en-GB"/>
        </w:rPr>
        <w:t>, however</w:t>
      </w:r>
      <w:r w:rsidRPr="00D87086">
        <w:rPr>
          <w:lang w:val="en-GB"/>
        </w:rPr>
        <w:t>. Gaps and deficiencies persist, there is no common health information strategy or reporting agenda and several different but overlapping indicator sets</w:t>
      </w:r>
      <w:r w:rsidR="00486379" w:rsidRPr="00D87086">
        <w:rPr>
          <w:lang w:val="en-GB"/>
        </w:rPr>
        <w:t xml:space="preserve"> can be found</w:t>
      </w:r>
      <w:r w:rsidRPr="00D87086">
        <w:rPr>
          <w:lang w:val="en-GB"/>
        </w:rPr>
        <w:t xml:space="preserve">. </w:t>
      </w:r>
    </w:p>
    <w:p w14:paraId="5E0FEF8A" w14:textId="137AD87C" w:rsidR="001A6F31" w:rsidRPr="00D87086" w:rsidRDefault="001A6F31" w:rsidP="001A6F31">
      <w:pPr>
        <w:rPr>
          <w:lang w:val="en-GB"/>
        </w:rPr>
      </w:pPr>
      <w:r w:rsidRPr="00D87086">
        <w:rPr>
          <w:lang w:val="en-GB"/>
        </w:rPr>
        <w:lastRenderedPageBreak/>
        <w:t xml:space="preserve">Additionally, the different health information areas are not systematically or </w:t>
      </w:r>
      <w:r w:rsidR="00496EE6" w:rsidRPr="00D87086">
        <w:rPr>
          <w:lang w:val="en-GB"/>
        </w:rPr>
        <w:t xml:space="preserve">consistently covered in the EU and effective priority setting mechanisms in health information </w:t>
      </w:r>
      <w:r w:rsidR="00B86A78" w:rsidRPr="00D87086">
        <w:rPr>
          <w:lang w:val="en-GB"/>
        </w:rPr>
        <w:t xml:space="preserve">are lacking. </w:t>
      </w:r>
      <w:r w:rsidRPr="00D87086">
        <w:rPr>
          <w:lang w:val="en-GB"/>
        </w:rPr>
        <w:t>Activities in drug control, infectious disease control, medicines, cancer and rare diseases are respectively covered by the European Monitoring Centre for Drugs and Drug Addiction, the European Centre for Disease Prevention and Control, the European Medicine Agency and the Joint Research Centre. This does, however, not by far cover the integral area of public health and healthcare. There is still a huge area in which no health data gathering or indicator sets of comparable quality exist, which makes adequate comparative research impossible. A good example is the limited coverage of non-communicable diseases, even though chronic diseases are the main cause of death</w:t>
      </w:r>
      <w:r w:rsidR="00AA7338">
        <w:rPr>
          <w:lang w:val="en-GB"/>
        </w:rPr>
        <w:t xml:space="preserve">, morbidity, </w:t>
      </w:r>
      <w:r w:rsidR="000A5688">
        <w:rPr>
          <w:lang w:val="en-GB"/>
        </w:rPr>
        <w:t>disability</w:t>
      </w:r>
      <w:r w:rsidRPr="00D87086">
        <w:rPr>
          <w:lang w:val="en-GB"/>
        </w:rPr>
        <w:t xml:space="preserve"> and poor quality of life in Europe. </w:t>
      </w:r>
    </w:p>
    <w:p w14:paraId="24655C9F" w14:textId="73DC999D" w:rsidR="001A6F31" w:rsidRPr="00D87086" w:rsidRDefault="001A6F31" w:rsidP="001A6F31">
      <w:pPr>
        <w:rPr>
          <w:lang w:val="en-GB"/>
        </w:rPr>
      </w:pPr>
      <w:r w:rsidRPr="00D87086">
        <w:rPr>
          <w:lang w:val="en-GB"/>
        </w:rPr>
        <w:t>Besides not covering all the different health information areas, the current health information activities also nearly always focus on vertical approaches. This</w:t>
      </w:r>
      <w:r w:rsidR="004C7E58">
        <w:rPr>
          <w:lang w:val="en-GB"/>
        </w:rPr>
        <w:t xml:space="preserve"> type of</w:t>
      </w:r>
      <w:r w:rsidRPr="00D87086">
        <w:rPr>
          <w:lang w:val="en-GB"/>
        </w:rPr>
        <w:t xml:space="preserve"> approach does not foster the development of a holistic public health approach including both the areas of population health and health systems. The fragmentation leads to internal competition between public health domains, a lack of coherence and balance, and a less efficient use of the existing health data for analyses and research that support evidence-based policy. This reflects the need for a coordinating and support structure that improve</w:t>
      </w:r>
      <w:r w:rsidR="007C09BF">
        <w:rPr>
          <w:lang w:val="en-GB"/>
        </w:rPr>
        <w:t>s</w:t>
      </w:r>
      <w:r w:rsidRPr="00D87086">
        <w:rPr>
          <w:lang w:val="en-GB"/>
        </w:rPr>
        <w:t xml:space="preserve"> </w:t>
      </w:r>
      <w:r w:rsidR="002E6269">
        <w:t xml:space="preserve">the </w:t>
      </w:r>
      <w:r w:rsidR="00F61922">
        <w:t>interoperability, the</w:t>
      </w:r>
      <w:r w:rsidR="00967474">
        <w:t xml:space="preserve"> </w:t>
      </w:r>
      <w:r w:rsidR="002E6269">
        <w:t>availability of relevant, reliable and up-to-date information and provide</w:t>
      </w:r>
      <w:r w:rsidR="007C09BF">
        <w:t>s</w:t>
      </w:r>
      <w:r w:rsidR="002E6269">
        <w:t xml:space="preserve"> opportunities for </w:t>
      </w:r>
      <w:r w:rsidRPr="00D87086">
        <w:rPr>
          <w:lang w:val="en-GB"/>
        </w:rPr>
        <w:t xml:space="preserve">comparative health </w:t>
      </w:r>
      <w:r w:rsidR="00564019">
        <w:rPr>
          <w:lang w:val="en-GB"/>
        </w:rPr>
        <w:t xml:space="preserve">and health systems performance </w:t>
      </w:r>
      <w:r w:rsidRPr="00D87086">
        <w:rPr>
          <w:lang w:val="en-GB"/>
        </w:rPr>
        <w:t xml:space="preserve">research in </w:t>
      </w:r>
      <w:r w:rsidR="004C7E58">
        <w:rPr>
          <w:lang w:val="en-GB"/>
        </w:rPr>
        <w:t>a number of</w:t>
      </w:r>
      <w:r w:rsidRPr="004C7100">
        <w:rPr>
          <w:lang w:val="en-GB"/>
        </w:rPr>
        <w:t xml:space="preserve"> </w:t>
      </w:r>
      <w:r w:rsidRPr="00D87086">
        <w:rPr>
          <w:lang w:val="en-GB"/>
        </w:rPr>
        <w:t>specific</w:t>
      </w:r>
      <w:r w:rsidR="004C7E58">
        <w:rPr>
          <w:lang w:val="en-GB"/>
        </w:rPr>
        <w:t xml:space="preserve"> policy relevant</w:t>
      </w:r>
      <w:r w:rsidRPr="00D87086">
        <w:rPr>
          <w:lang w:val="en-GB"/>
        </w:rPr>
        <w:t xml:space="preserve"> areas. </w:t>
      </w:r>
    </w:p>
    <w:p w14:paraId="5F9F1148" w14:textId="389E84FF" w:rsidR="001A6F31" w:rsidRPr="004772F4" w:rsidRDefault="008319FB" w:rsidP="001A6F31">
      <w:pPr>
        <w:rPr>
          <w:lang w:val="en-GB"/>
        </w:rPr>
      </w:pPr>
      <w:r w:rsidRPr="004772F4">
        <w:rPr>
          <w:lang w:val="en-GB"/>
        </w:rPr>
        <w:t>EU countries</w:t>
      </w:r>
      <w:r w:rsidR="001A6F31" w:rsidRPr="004772F4">
        <w:rPr>
          <w:lang w:val="en-GB"/>
        </w:rPr>
        <w:t xml:space="preserve"> have </w:t>
      </w:r>
      <w:r w:rsidR="00E111C7" w:rsidRPr="004772F4">
        <w:rPr>
          <w:lang w:val="en-GB"/>
        </w:rPr>
        <w:t xml:space="preserve">also </w:t>
      </w:r>
      <w:r w:rsidR="001A6F31" w:rsidRPr="004772F4">
        <w:rPr>
          <w:lang w:val="en-GB"/>
        </w:rPr>
        <w:t>taken up national</w:t>
      </w:r>
      <w:r w:rsidR="004C7E58" w:rsidRPr="004772F4">
        <w:rPr>
          <w:lang w:val="en-GB"/>
        </w:rPr>
        <w:t>, regional and local</w:t>
      </w:r>
      <w:r w:rsidR="001A6F31" w:rsidRPr="004772F4">
        <w:rPr>
          <w:lang w:val="en-GB"/>
        </w:rPr>
        <w:t xml:space="preserve"> activities in assessing system performance, policy evaluation and data collection in many different ways. </w:t>
      </w:r>
      <w:r w:rsidR="00F61922" w:rsidRPr="004772F4">
        <w:rPr>
          <w:lang w:val="en-GB"/>
        </w:rPr>
        <w:t>H</w:t>
      </w:r>
      <w:r w:rsidR="001A6F31" w:rsidRPr="004772F4">
        <w:rPr>
          <w:lang w:val="en-GB"/>
        </w:rPr>
        <w:t xml:space="preserve">owever, </w:t>
      </w:r>
      <w:r w:rsidR="00F61922" w:rsidRPr="004772F4">
        <w:rPr>
          <w:lang w:val="en-GB"/>
        </w:rPr>
        <w:t xml:space="preserve">EU </w:t>
      </w:r>
      <w:r w:rsidRPr="004772F4">
        <w:rPr>
          <w:lang w:val="en-GB"/>
        </w:rPr>
        <w:t>countries</w:t>
      </w:r>
      <w:r w:rsidR="001A6F31" w:rsidRPr="004772F4">
        <w:rPr>
          <w:lang w:val="en-GB"/>
        </w:rPr>
        <w:t xml:space="preserve"> face large differences in the </w:t>
      </w:r>
      <w:r w:rsidR="00F01C36" w:rsidRPr="004772F4">
        <w:rPr>
          <w:lang w:val="en-GB"/>
        </w:rPr>
        <w:t xml:space="preserve">ability to collect </w:t>
      </w:r>
      <w:r w:rsidR="001A6F31" w:rsidRPr="004772F4">
        <w:rPr>
          <w:lang w:val="en-GB"/>
        </w:rPr>
        <w:t>relevant health data</w:t>
      </w:r>
      <w:r w:rsidR="00F01C36" w:rsidRPr="004772F4">
        <w:rPr>
          <w:lang w:val="en-GB"/>
        </w:rPr>
        <w:t xml:space="preserve"> of adequate </w:t>
      </w:r>
      <w:r w:rsidR="00F61922" w:rsidRPr="004772F4">
        <w:rPr>
          <w:lang w:val="en-GB"/>
        </w:rPr>
        <w:t xml:space="preserve">quality. Also </w:t>
      </w:r>
      <w:r w:rsidR="00F01C36" w:rsidRPr="004772F4">
        <w:rPr>
          <w:lang w:val="en-GB"/>
        </w:rPr>
        <w:t>the scientific</w:t>
      </w:r>
      <w:r w:rsidR="001A6F31" w:rsidRPr="004772F4">
        <w:rPr>
          <w:lang w:val="en-GB"/>
        </w:rPr>
        <w:t xml:space="preserve"> capacity for analysing these data</w:t>
      </w:r>
      <w:r w:rsidR="003B6E05" w:rsidRPr="004772F4">
        <w:rPr>
          <w:lang w:val="en-GB"/>
        </w:rPr>
        <w:t xml:space="preserve"> and </w:t>
      </w:r>
      <w:r w:rsidR="00F01C36" w:rsidRPr="004772F4">
        <w:rPr>
          <w:lang w:val="en-GB"/>
        </w:rPr>
        <w:t xml:space="preserve">for </w:t>
      </w:r>
      <w:r w:rsidR="003B6E05" w:rsidRPr="004772F4">
        <w:rPr>
          <w:lang w:val="en-GB"/>
        </w:rPr>
        <w:t xml:space="preserve">translating </w:t>
      </w:r>
      <w:r w:rsidR="00F01C36" w:rsidRPr="004772F4">
        <w:rPr>
          <w:lang w:val="en-GB"/>
        </w:rPr>
        <w:t xml:space="preserve">the information produced </w:t>
      </w:r>
      <w:r w:rsidR="003B6E05" w:rsidRPr="004772F4">
        <w:rPr>
          <w:lang w:val="en-GB"/>
        </w:rPr>
        <w:t xml:space="preserve">into </w:t>
      </w:r>
      <w:r w:rsidR="00F01C36" w:rsidRPr="004772F4">
        <w:rPr>
          <w:lang w:val="en-GB"/>
        </w:rPr>
        <w:t xml:space="preserve">evidence to inform </w:t>
      </w:r>
      <w:r w:rsidR="003B6E05" w:rsidRPr="004772F4">
        <w:rPr>
          <w:lang w:val="en-GB"/>
        </w:rPr>
        <w:t>public policies</w:t>
      </w:r>
      <w:r w:rsidR="00F61922" w:rsidRPr="004772F4">
        <w:rPr>
          <w:lang w:val="en-GB"/>
        </w:rPr>
        <w:t xml:space="preserve"> varies between EU countries</w:t>
      </w:r>
      <w:r w:rsidR="001A6F31" w:rsidRPr="004772F4">
        <w:rPr>
          <w:lang w:val="en-GB"/>
        </w:rPr>
        <w:t>. Moreover, the</w:t>
      </w:r>
      <w:r w:rsidR="004A618D" w:rsidRPr="004772F4">
        <w:rPr>
          <w:lang w:val="en-GB"/>
        </w:rPr>
        <w:t xml:space="preserve"> lack of </w:t>
      </w:r>
      <w:r w:rsidR="00F61922" w:rsidRPr="004772F4">
        <w:rPr>
          <w:lang w:val="en-GB"/>
        </w:rPr>
        <w:t xml:space="preserve">interoperability, </w:t>
      </w:r>
      <w:r w:rsidR="004A618D" w:rsidRPr="004772F4">
        <w:rPr>
          <w:lang w:val="en-GB"/>
        </w:rPr>
        <w:t xml:space="preserve">comparable data and </w:t>
      </w:r>
      <w:r w:rsidR="00F61922" w:rsidRPr="004772F4">
        <w:rPr>
          <w:lang w:val="en-GB"/>
        </w:rPr>
        <w:t xml:space="preserve">comparative research abilities in </w:t>
      </w:r>
      <w:r w:rsidR="001A6F31" w:rsidRPr="004772F4">
        <w:rPr>
          <w:lang w:val="en-GB"/>
        </w:rPr>
        <w:t xml:space="preserve">health </w:t>
      </w:r>
      <w:r w:rsidR="004A618D" w:rsidRPr="004772F4">
        <w:rPr>
          <w:lang w:val="en-GB"/>
        </w:rPr>
        <w:t>and</w:t>
      </w:r>
      <w:r w:rsidR="00564019" w:rsidRPr="004772F4">
        <w:rPr>
          <w:lang w:val="en-GB"/>
        </w:rPr>
        <w:t xml:space="preserve"> health systems performance </w:t>
      </w:r>
      <w:r w:rsidR="004A618D" w:rsidRPr="004772F4">
        <w:rPr>
          <w:lang w:val="en-GB"/>
        </w:rPr>
        <w:t xml:space="preserve">impairs assessing the national or regional health situation, identifying </w:t>
      </w:r>
      <w:r w:rsidR="00F94262" w:rsidRPr="004772F4">
        <w:rPr>
          <w:lang w:val="en-GB"/>
        </w:rPr>
        <w:t xml:space="preserve">the </w:t>
      </w:r>
      <w:r w:rsidR="004A618D" w:rsidRPr="004772F4">
        <w:rPr>
          <w:lang w:val="en-GB"/>
        </w:rPr>
        <w:t xml:space="preserve">determinants </w:t>
      </w:r>
      <w:r w:rsidR="00F94262" w:rsidRPr="004772F4">
        <w:rPr>
          <w:lang w:val="en-GB"/>
        </w:rPr>
        <w:t xml:space="preserve">of </w:t>
      </w:r>
      <w:r w:rsidR="004A618D" w:rsidRPr="004772F4">
        <w:rPr>
          <w:lang w:val="en-GB"/>
        </w:rPr>
        <w:t xml:space="preserve">health and </w:t>
      </w:r>
      <w:r w:rsidR="00F94262" w:rsidRPr="004772F4">
        <w:rPr>
          <w:lang w:val="en-GB"/>
        </w:rPr>
        <w:t>diseases</w:t>
      </w:r>
      <w:r w:rsidR="00D927FF" w:rsidRPr="004772F4">
        <w:rPr>
          <w:lang w:val="en-GB"/>
        </w:rPr>
        <w:t>,</w:t>
      </w:r>
      <w:r w:rsidR="00D87086" w:rsidRPr="004772F4">
        <w:rPr>
          <w:lang w:val="en-GB"/>
        </w:rPr>
        <w:t xml:space="preserve"> and </w:t>
      </w:r>
      <w:r w:rsidR="00564019" w:rsidRPr="004772F4">
        <w:rPr>
          <w:lang w:val="en-GB"/>
        </w:rPr>
        <w:t>inform</w:t>
      </w:r>
      <w:r w:rsidR="004A618D" w:rsidRPr="004772F4">
        <w:rPr>
          <w:lang w:val="en-GB"/>
        </w:rPr>
        <w:t>ing</w:t>
      </w:r>
      <w:r w:rsidR="00564019" w:rsidRPr="004772F4">
        <w:rPr>
          <w:lang w:val="en-GB"/>
        </w:rPr>
        <w:t xml:space="preserve"> efforts aiming at improving </w:t>
      </w:r>
      <w:r w:rsidR="00D87086" w:rsidRPr="004772F4">
        <w:rPr>
          <w:lang w:val="en-GB"/>
        </w:rPr>
        <w:t xml:space="preserve">current </w:t>
      </w:r>
      <w:r w:rsidR="00564019" w:rsidRPr="004772F4">
        <w:rPr>
          <w:lang w:val="en-GB"/>
        </w:rPr>
        <w:t xml:space="preserve">prevention and </w:t>
      </w:r>
      <w:r w:rsidR="00D87086" w:rsidRPr="004772F4">
        <w:rPr>
          <w:lang w:val="en-GB"/>
        </w:rPr>
        <w:t>care practices</w:t>
      </w:r>
      <w:r w:rsidR="00564019" w:rsidRPr="004772F4">
        <w:rPr>
          <w:lang w:val="en-GB"/>
        </w:rPr>
        <w:t xml:space="preserve"> and policies</w:t>
      </w:r>
      <w:r w:rsidR="00D87086" w:rsidRPr="004772F4">
        <w:rPr>
          <w:lang w:val="en-GB"/>
        </w:rPr>
        <w:t>.</w:t>
      </w:r>
    </w:p>
    <w:p w14:paraId="7466E8F8" w14:textId="3E1153B6" w:rsidR="00FD3D45" w:rsidRDefault="001A6F31" w:rsidP="001A6F31">
      <w:pPr>
        <w:rPr>
          <w:lang w:val="en-GB"/>
        </w:rPr>
      </w:pPr>
      <w:r w:rsidRPr="00D87086">
        <w:rPr>
          <w:lang w:val="en-GB"/>
        </w:rPr>
        <w:t>This situational analysis calls out for more Member States</w:t>
      </w:r>
      <w:r w:rsidR="00EA7528">
        <w:rPr>
          <w:rStyle w:val="FootnoteReference"/>
          <w:lang w:val="en-GB"/>
        </w:rPr>
        <w:footnoteReference w:id="3"/>
      </w:r>
      <w:r w:rsidRPr="00D87086">
        <w:rPr>
          <w:lang w:val="en-GB"/>
        </w:rPr>
        <w:t xml:space="preserve"> involvement, better and more transpa</w:t>
      </w:r>
      <w:r w:rsidR="00EA7528">
        <w:rPr>
          <w:lang w:val="en-GB"/>
        </w:rPr>
        <w:t>rent coordination and some form</w:t>
      </w:r>
      <w:r w:rsidRPr="00D87086">
        <w:rPr>
          <w:lang w:val="en-GB"/>
        </w:rPr>
        <w:t xml:space="preserve"> of central governance. </w:t>
      </w:r>
    </w:p>
    <w:p w14:paraId="2B046EED" w14:textId="3460FA10" w:rsidR="00FD3D45" w:rsidRDefault="003C747A" w:rsidP="001A6F31">
      <w:pPr>
        <w:rPr>
          <w:lang w:val="en-GB"/>
        </w:rPr>
      </w:pPr>
      <w:r>
        <w:rPr>
          <w:lang w:val="en-GB"/>
        </w:rPr>
        <w:t>Improvements should focus on</w:t>
      </w:r>
      <w:r w:rsidR="00E207B0">
        <w:rPr>
          <w:lang w:val="en-GB"/>
        </w:rPr>
        <w:t xml:space="preserve"> </w:t>
      </w:r>
      <w:r w:rsidR="00F61922">
        <w:rPr>
          <w:lang w:val="en-GB"/>
        </w:rPr>
        <w:t>6</w:t>
      </w:r>
      <w:r w:rsidR="00E207B0">
        <w:rPr>
          <w:lang w:val="en-GB"/>
        </w:rPr>
        <w:t xml:space="preserve"> key points</w:t>
      </w:r>
      <w:r w:rsidR="00FD3D45">
        <w:rPr>
          <w:lang w:val="en-GB"/>
        </w:rPr>
        <w:t>:</w:t>
      </w:r>
    </w:p>
    <w:p w14:paraId="77E989FA" w14:textId="1717F450" w:rsidR="003720E8" w:rsidRDefault="003720E8" w:rsidP="00890E38">
      <w:pPr>
        <w:pStyle w:val="ListParagraph"/>
        <w:numPr>
          <w:ilvl w:val="0"/>
          <w:numId w:val="20"/>
        </w:numPr>
        <w:rPr>
          <w:lang w:val="en-GB"/>
        </w:rPr>
      </w:pPr>
      <w:r w:rsidRPr="00D87086">
        <w:rPr>
          <w:lang w:val="en-GB"/>
        </w:rPr>
        <w:t>improved identification and prioritisation of data needs</w:t>
      </w:r>
      <w:r w:rsidR="00A640FB">
        <w:rPr>
          <w:lang w:val="en-GB"/>
        </w:rPr>
        <w:t>,</w:t>
      </w:r>
      <w:r w:rsidRPr="00FD3D45">
        <w:rPr>
          <w:lang w:val="en-GB"/>
        </w:rPr>
        <w:t xml:space="preserve"> </w:t>
      </w:r>
    </w:p>
    <w:p w14:paraId="64204540" w14:textId="51849482" w:rsidR="00FD3D45" w:rsidRDefault="001A6F31" w:rsidP="00890E38">
      <w:pPr>
        <w:pStyle w:val="ListParagraph"/>
        <w:numPr>
          <w:ilvl w:val="0"/>
          <w:numId w:val="20"/>
        </w:numPr>
        <w:rPr>
          <w:lang w:val="en-GB"/>
        </w:rPr>
      </w:pPr>
      <w:r w:rsidRPr="00FD3D45">
        <w:rPr>
          <w:lang w:val="en-GB"/>
        </w:rPr>
        <w:t xml:space="preserve">harmonisation </w:t>
      </w:r>
      <w:r w:rsidR="00274D61">
        <w:rPr>
          <w:lang w:val="en-GB"/>
        </w:rPr>
        <w:t xml:space="preserve">and coordination </w:t>
      </w:r>
      <w:r w:rsidR="003C747A">
        <w:rPr>
          <w:lang w:val="en-GB"/>
        </w:rPr>
        <w:t>in the definition</w:t>
      </w:r>
      <w:r w:rsidR="004E47DB">
        <w:rPr>
          <w:lang w:val="en-GB"/>
        </w:rPr>
        <w:t xml:space="preserve"> and</w:t>
      </w:r>
      <w:r w:rsidR="003C747A">
        <w:rPr>
          <w:lang w:val="en-GB"/>
        </w:rPr>
        <w:t xml:space="preserve"> </w:t>
      </w:r>
      <w:r w:rsidRPr="00FD3D45">
        <w:rPr>
          <w:lang w:val="en-GB"/>
        </w:rPr>
        <w:t xml:space="preserve">collection of health data and </w:t>
      </w:r>
      <w:r w:rsidR="003C747A">
        <w:rPr>
          <w:lang w:val="en-GB"/>
        </w:rPr>
        <w:t xml:space="preserve">in the production </w:t>
      </w:r>
      <w:r w:rsidR="004E47DB">
        <w:rPr>
          <w:lang w:val="en-GB"/>
        </w:rPr>
        <w:t xml:space="preserve">and reporting </w:t>
      </w:r>
      <w:r w:rsidR="003C747A">
        <w:rPr>
          <w:lang w:val="en-GB"/>
        </w:rPr>
        <w:t xml:space="preserve">of </w:t>
      </w:r>
      <w:r w:rsidRPr="00FD3D45">
        <w:rPr>
          <w:lang w:val="en-GB"/>
        </w:rPr>
        <w:t xml:space="preserve">indicators, </w:t>
      </w:r>
    </w:p>
    <w:p w14:paraId="450D8935" w14:textId="77777777" w:rsidR="00FD3D45" w:rsidRDefault="001A6F31" w:rsidP="00890E38">
      <w:pPr>
        <w:pStyle w:val="ListParagraph"/>
        <w:numPr>
          <w:ilvl w:val="0"/>
          <w:numId w:val="20"/>
        </w:numPr>
        <w:rPr>
          <w:lang w:val="en-GB"/>
        </w:rPr>
      </w:pPr>
      <w:r w:rsidRPr="00FD3D45">
        <w:rPr>
          <w:lang w:val="en-GB"/>
        </w:rPr>
        <w:t>better access to comparable health data</w:t>
      </w:r>
      <w:r w:rsidR="00F0159C">
        <w:rPr>
          <w:lang w:val="en-GB"/>
        </w:rPr>
        <w:t xml:space="preserve"> for research</w:t>
      </w:r>
      <w:r w:rsidRPr="00FD3D45">
        <w:rPr>
          <w:lang w:val="en-GB"/>
        </w:rPr>
        <w:t xml:space="preserve">, </w:t>
      </w:r>
    </w:p>
    <w:p w14:paraId="335591BE" w14:textId="77777777" w:rsidR="00FD3D45" w:rsidRDefault="001A6F31" w:rsidP="00890E38">
      <w:pPr>
        <w:pStyle w:val="ListParagraph"/>
        <w:numPr>
          <w:ilvl w:val="0"/>
          <w:numId w:val="20"/>
        </w:numPr>
        <w:rPr>
          <w:lang w:val="en-GB"/>
        </w:rPr>
      </w:pPr>
      <w:r w:rsidRPr="00FD3D45">
        <w:rPr>
          <w:lang w:val="en-GB"/>
        </w:rPr>
        <w:t xml:space="preserve">capacity for health system and </w:t>
      </w:r>
      <w:r w:rsidR="00F94262">
        <w:rPr>
          <w:lang w:val="en-GB"/>
        </w:rPr>
        <w:t>population</w:t>
      </w:r>
      <w:r w:rsidRPr="00FD3D45">
        <w:rPr>
          <w:lang w:val="en-GB"/>
        </w:rPr>
        <w:t xml:space="preserve"> health analysis and research, </w:t>
      </w:r>
    </w:p>
    <w:p w14:paraId="35DA8A80" w14:textId="5E3ABDC5" w:rsidR="00274D61" w:rsidRDefault="001A6F31" w:rsidP="00274D61">
      <w:pPr>
        <w:pStyle w:val="ListParagraph"/>
        <w:numPr>
          <w:ilvl w:val="0"/>
          <w:numId w:val="20"/>
        </w:numPr>
        <w:rPr>
          <w:lang w:val="en-GB"/>
        </w:rPr>
      </w:pPr>
      <w:r w:rsidRPr="00FD3D45">
        <w:rPr>
          <w:lang w:val="en-GB"/>
        </w:rPr>
        <w:t>support for more and stronger health re</w:t>
      </w:r>
      <w:r w:rsidR="00E207B0">
        <w:rPr>
          <w:lang w:val="en-GB"/>
        </w:rPr>
        <w:t>search networks and communities</w:t>
      </w:r>
      <w:r w:rsidRPr="00FD3D45">
        <w:rPr>
          <w:lang w:val="en-GB"/>
        </w:rPr>
        <w:t xml:space="preserve"> for instance by focussed capacity building and a better exch</w:t>
      </w:r>
      <w:r w:rsidR="00A640FB">
        <w:rPr>
          <w:lang w:val="en-GB"/>
        </w:rPr>
        <w:t>ange of expertise and knowledge, and</w:t>
      </w:r>
      <w:r w:rsidRPr="00FD3D45">
        <w:rPr>
          <w:lang w:val="en-GB"/>
        </w:rPr>
        <w:t xml:space="preserve"> </w:t>
      </w:r>
    </w:p>
    <w:p w14:paraId="43598150" w14:textId="7239A8F2" w:rsidR="0090043D" w:rsidRPr="00B74BA0" w:rsidRDefault="00274D61" w:rsidP="00385B8B">
      <w:pPr>
        <w:pStyle w:val="ListParagraph"/>
        <w:numPr>
          <w:ilvl w:val="0"/>
          <w:numId w:val="20"/>
        </w:numPr>
        <w:spacing w:after="240"/>
        <w:rPr>
          <w:lang w:val="en-GB"/>
        </w:rPr>
      </w:pPr>
      <w:proofErr w:type="gramStart"/>
      <w:r>
        <w:rPr>
          <w:lang w:val="en-GB"/>
        </w:rPr>
        <w:lastRenderedPageBreak/>
        <w:t>capacity</w:t>
      </w:r>
      <w:proofErr w:type="gramEnd"/>
      <w:r>
        <w:rPr>
          <w:lang w:val="en-GB"/>
        </w:rPr>
        <w:t xml:space="preserve"> for </w:t>
      </w:r>
      <w:r w:rsidRPr="00FD3D45">
        <w:rPr>
          <w:lang w:val="en-GB"/>
        </w:rPr>
        <w:t>evidence synthesis and knowledge translation for policy and interventions</w:t>
      </w:r>
      <w:r w:rsidR="00A640FB">
        <w:rPr>
          <w:lang w:val="en-GB"/>
        </w:rPr>
        <w:t>.</w:t>
      </w:r>
    </w:p>
    <w:p w14:paraId="5BC2B09A" w14:textId="0765FFF9" w:rsidR="00253303" w:rsidRPr="00D87086" w:rsidRDefault="00253303" w:rsidP="00253303">
      <w:pPr>
        <w:pStyle w:val="Heading1"/>
      </w:pPr>
      <w:bookmarkStart w:id="2" w:name="_Toc469063793"/>
      <w:r w:rsidRPr="00D87086">
        <w:t xml:space="preserve">An ERIC </w:t>
      </w:r>
      <w:bookmarkEnd w:id="2"/>
      <w:r w:rsidR="00F61922">
        <w:t>on health information</w:t>
      </w:r>
    </w:p>
    <w:p w14:paraId="4DAE8276" w14:textId="2ACC655C" w:rsidR="00981434" w:rsidRPr="00D87086" w:rsidRDefault="00DC5C67" w:rsidP="00DC5C67">
      <w:pPr>
        <w:rPr>
          <w:lang w:val="en-GB"/>
        </w:rPr>
      </w:pPr>
      <w:r w:rsidRPr="00D87086">
        <w:rPr>
          <w:lang w:val="en-GB"/>
        </w:rPr>
        <w:t xml:space="preserve">A European Research Infrastructure Consortium on Health Information </w:t>
      </w:r>
      <w:r w:rsidR="00E73052" w:rsidRPr="00D87086">
        <w:rPr>
          <w:lang w:val="en-GB"/>
        </w:rPr>
        <w:t xml:space="preserve">for Research and Evidence-based Policy (HIREP-ERIC) </w:t>
      </w:r>
      <w:r w:rsidRPr="00D87086">
        <w:rPr>
          <w:lang w:val="en-GB"/>
        </w:rPr>
        <w:t xml:space="preserve">will establish a basis and infrastructure for </w:t>
      </w:r>
      <w:r w:rsidR="005516DE">
        <w:rPr>
          <w:lang w:val="en-GB"/>
        </w:rPr>
        <w:t>a better</w:t>
      </w:r>
      <w:r w:rsidR="004D1A0B">
        <w:rPr>
          <w:lang w:val="en-GB"/>
        </w:rPr>
        <w:t xml:space="preserve"> </w:t>
      </w:r>
      <w:r w:rsidRPr="00D87086">
        <w:rPr>
          <w:lang w:val="en-GB"/>
        </w:rPr>
        <w:t>integrated</w:t>
      </w:r>
      <w:r w:rsidR="004D1A0B">
        <w:rPr>
          <w:lang w:val="en-GB"/>
        </w:rPr>
        <w:t xml:space="preserve"> and</w:t>
      </w:r>
      <w:r w:rsidRPr="00D87086">
        <w:rPr>
          <w:lang w:val="en-GB"/>
        </w:rPr>
        <w:t xml:space="preserve"> sustainable EU </w:t>
      </w:r>
      <w:r w:rsidR="00E73052" w:rsidRPr="00D87086">
        <w:rPr>
          <w:lang w:val="en-GB"/>
        </w:rPr>
        <w:t>h</w:t>
      </w:r>
      <w:r w:rsidRPr="00D87086">
        <w:rPr>
          <w:lang w:val="en-GB"/>
        </w:rPr>
        <w:t xml:space="preserve">ealth </w:t>
      </w:r>
      <w:r w:rsidR="00E73052" w:rsidRPr="00D87086">
        <w:rPr>
          <w:lang w:val="en-GB"/>
        </w:rPr>
        <w:t>i</w:t>
      </w:r>
      <w:r w:rsidRPr="00D87086">
        <w:rPr>
          <w:lang w:val="en-GB"/>
        </w:rPr>
        <w:t xml:space="preserve">nformation </w:t>
      </w:r>
      <w:r w:rsidR="00E73052" w:rsidRPr="00D87086">
        <w:rPr>
          <w:lang w:val="en-GB"/>
        </w:rPr>
        <w:t>s</w:t>
      </w:r>
      <w:r w:rsidRPr="00D87086">
        <w:rPr>
          <w:lang w:val="en-GB"/>
        </w:rPr>
        <w:t>ystem</w:t>
      </w:r>
      <w:r w:rsidR="001E2020" w:rsidRPr="00D87086">
        <w:rPr>
          <w:lang w:val="en-GB"/>
        </w:rPr>
        <w:t>. The HIREP-ERIC will</w:t>
      </w:r>
      <w:r w:rsidR="00C142AE" w:rsidRPr="00D87086">
        <w:rPr>
          <w:lang w:val="en-GB"/>
        </w:rPr>
        <w:t xml:space="preserve"> </w:t>
      </w:r>
      <w:r w:rsidR="005516DE">
        <w:rPr>
          <w:lang w:val="en-GB"/>
        </w:rPr>
        <w:t>provide</w:t>
      </w:r>
      <w:r w:rsidR="00C142AE" w:rsidRPr="00D87086">
        <w:rPr>
          <w:lang w:val="en-GB"/>
        </w:rPr>
        <w:t xml:space="preserve"> a backbone and sustainable infrastructure to support the</w:t>
      </w:r>
      <w:r w:rsidR="005516DE">
        <w:rPr>
          <w:lang w:val="en-GB"/>
        </w:rPr>
        <w:t xml:space="preserve"> policy relevant</w:t>
      </w:r>
      <w:r w:rsidR="00C142AE" w:rsidRPr="00D87086">
        <w:rPr>
          <w:lang w:val="en-GB"/>
        </w:rPr>
        <w:t xml:space="preserve"> research fields of population health monitoring and health system performance assessment.</w:t>
      </w:r>
      <w:r w:rsidR="007353B0">
        <w:rPr>
          <w:lang w:val="en-GB"/>
        </w:rPr>
        <w:t xml:space="preserve"> The HIREP-ERIC will be based on two pillars: research and policy. </w:t>
      </w:r>
      <w:r w:rsidR="00967474">
        <w:rPr>
          <w:lang w:val="en-GB"/>
        </w:rPr>
        <w:t>The research carried out in the HIREP-ERIC support</w:t>
      </w:r>
      <w:r w:rsidR="0037313E">
        <w:rPr>
          <w:lang w:val="en-GB"/>
        </w:rPr>
        <w:t>s</w:t>
      </w:r>
      <w:r w:rsidR="00967474">
        <w:rPr>
          <w:lang w:val="en-GB"/>
        </w:rPr>
        <w:t xml:space="preserve"> evidence based policy making and the knowledge </w:t>
      </w:r>
      <w:r w:rsidR="0037313E">
        <w:rPr>
          <w:lang w:val="en-GB"/>
        </w:rPr>
        <w:t>is</w:t>
      </w:r>
      <w:r w:rsidR="00967474">
        <w:rPr>
          <w:lang w:val="en-GB"/>
        </w:rPr>
        <w:t xml:space="preserve"> translated for policy makers.</w:t>
      </w:r>
    </w:p>
    <w:p w14:paraId="68C4250E" w14:textId="4D28F4DA" w:rsidR="00253303" w:rsidRPr="00D87086" w:rsidRDefault="00253303" w:rsidP="00253303">
      <w:pPr>
        <w:rPr>
          <w:lang w:val="en-GB"/>
        </w:rPr>
      </w:pPr>
      <w:r w:rsidRPr="00D87086">
        <w:rPr>
          <w:lang w:val="en-GB"/>
        </w:rPr>
        <w:t xml:space="preserve">The ERIC will provide scientific and technical services. </w:t>
      </w:r>
      <w:r w:rsidR="003B6E05" w:rsidRPr="00D87086">
        <w:rPr>
          <w:lang w:val="en-GB"/>
        </w:rPr>
        <w:t xml:space="preserve">It will support health research, provide a sustainable structure for best practice exchange </w:t>
      </w:r>
      <w:r w:rsidR="00D823D0" w:rsidRPr="00D87086">
        <w:rPr>
          <w:lang w:val="en-GB"/>
        </w:rPr>
        <w:t xml:space="preserve">and support mutual learning </w:t>
      </w:r>
      <w:r w:rsidR="003B6E05" w:rsidRPr="00D87086">
        <w:rPr>
          <w:lang w:val="en-GB"/>
        </w:rPr>
        <w:t xml:space="preserve">between </w:t>
      </w:r>
      <w:r w:rsidR="00CB15F4">
        <w:rPr>
          <w:lang w:val="en-GB"/>
        </w:rPr>
        <w:t>EU countries</w:t>
      </w:r>
      <w:r w:rsidR="00D823D0">
        <w:rPr>
          <w:lang w:val="en-GB"/>
        </w:rPr>
        <w:t xml:space="preserve"> including</w:t>
      </w:r>
      <w:r w:rsidR="00D823D0" w:rsidRPr="00D823D0">
        <w:rPr>
          <w:lang w:val="en-GB"/>
        </w:rPr>
        <w:t xml:space="preserve"> Member States, EDTA and EEA countries.</w:t>
      </w:r>
      <w:r w:rsidR="003B6E05" w:rsidRPr="00D87086">
        <w:rPr>
          <w:lang w:val="en-GB"/>
        </w:rPr>
        <w:t xml:space="preserve"> It will s</w:t>
      </w:r>
      <w:r w:rsidR="0069671E" w:rsidRPr="00D87086">
        <w:rPr>
          <w:lang w:val="en-GB"/>
        </w:rPr>
        <w:t xml:space="preserve">upport </w:t>
      </w:r>
      <w:r w:rsidR="005516DE">
        <w:rPr>
          <w:lang w:val="en-GB"/>
        </w:rPr>
        <w:t>and expand</w:t>
      </w:r>
      <w:r w:rsidR="0069671E">
        <w:rPr>
          <w:lang w:val="en-GB"/>
        </w:rPr>
        <w:t xml:space="preserve"> </w:t>
      </w:r>
      <w:r w:rsidR="0069671E" w:rsidRPr="00D87086">
        <w:rPr>
          <w:lang w:val="en-GB"/>
        </w:rPr>
        <w:t>existing data collection</w:t>
      </w:r>
      <w:r w:rsidR="00D927FF">
        <w:rPr>
          <w:lang w:val="en-GB"/>
        </w:rPr>
        <w:t xml:space="preserve"> if needed</w:t>
      </w:r>
      <w:r w:rsidR="0069671E" w:rsidRPr="00D87086">
        <w:rPr>
          <w:lang w:val="en-GB"/>
        </w:rPr>
        <w:t xml:space="preserve">, fill the gaps where data collection is lacking and analyse </w:t>
      </w:r>
      <w:r w:rsidR="005516DE">
        <w:rPr>
          <w:lang w:val="en-GB"/>
        </w:rPr>
        <w:t>comparable</w:t>
      </w:r>
      <w:r w:rsidR="0069671E">
        <w:rPr>
          <w:lang w:val="en-GB"/>
        </w:rPr>
        <w:t xml:space="preserve"> data</w:t>
      </w:r>
      <w:r w:rsidR="005516DE">
        <w:rPr>
          <w:lang w:val="en-GB"/>
        </w:rPr>
        <w:t>sets from EU Member States</w:t>
      </w:r>
      <w:r w:rsidR="0069671E">
        <w:rPr>
          <w:lang w:val="en-GB"/>
        </w:rPr>
        <w:t>.</w:t>
      </w:r>
      <w:r w:rsidR="003B6E05" w:rsidRPr="00D87086">
        <w:rPr>
          <w:lang w:val="en-GB"/>
        </w:rPr>
        <w:t xml:space="preserve"> </w:t>
      </w:r>
      <w:r w:rsidRPr="00D87086">
        <w:rPr>
          <w:lang w:val="en-GB"/>
        </w:rPr>
        <w:t xml:space="preserve">The knowledge generated by the HIREP-ERIC provides harmonised and comparable health data allowing </w:t>
      </w:r>
      <w:r w:rsidR="00A856A4" w:rsidRPr="00D87086">
        <w:rPr>
          <w:lang w:val="en-GB"/>
        </w:rPr>
        <w:t xml:space="preserve">high quality research and </w:t>
      </w:r>
      <w:r w:rsidRPr="00D87086">
        <w:rPr>
          <w:lang w:val="en-GB"/>
        </w:rPr>
        <w:t>comparison</w:t>
      </w:r>
      <w:r w:rsidR="00D87086" w:rsidRPr="00D87086">
        <w:rPr>
          <w:lang w:val="en-GB"/>
        </w:rPr>
        <w:t>s</w:t>
      </w:r>
      <w:r w:rsidRPr="00D87086">
        <w:rPr>
          <w:lang w:val="en-GB"/>
        </w:rPr>
        <w:t xml:space="preserve"> within and between </w:t>
      </w:r>
      <w:r w:rsidR="00CB15F4">
        <w:rPr>
          <w:lang w:val="en-GB"/>
        </w:rPr>
        <w:t>EU countries</w:t>
      </w:r>
      <w:r w:rsidRPr="00D87086">
        <w:rPr>
          <w:lang w:val="en-GB"/>
        </w:rPr>
        <w:t xml:space="preserve"> </w:t>
      </w:r>
      <w:r w:rsidR="00A856A4" w:rsidRPr="00D87086">
        <w:rPr>
          <w:lang w:val="en-GB"/>
        </w:rPr>
        <w:t xml:space="preserve">supporting </w:t>
      </w:r>
      <w:r w:rsidRPr="00D87086">
        <w:rPr>
          <w:lang w:val="en-GB"/>
        </w:rPr>
        <w:t xml:space="preserve">informed decision-making at national and EU level. </w:t>
      </w:r>
    </w:p>
    <w:p w14:paraId="47CE6E31" w14:textId="36EADA00" w:rsidR="00253303" w:rsidRPr="00CA4C3B" w:rsidRDefault="00253303" w:rsidP="00CA4C3B">
      <w:pPr>
        <w:spacing w:after="0"/>
        <w:rPr>
          <w:rFonts w:ascii="Times New Roman" w:hAnsi="Times New Roman" w:cs="Times New Roman"/>
          <w:sz w:val="24"/>
          <w:szCs w:val="24"/>
        </w:rPr>
      </w:pPr>
      <w:r w:rsidRPr="00D87086">
        <w:rPr>
          <w:lang w:val="en-GB"/>
        </w:rPr>
        <w:t xml:space="preserve">The HIREP-ERIC will function as a </w:t>
      </w:r>
      <w:r w:rsidR="00CA4C3B">
        <w:rPr>
          <w:lang w:val="en-GB"/>
        </w:rPr>
        <w:t xml:space="preserve">network of networks, </w:t>
      </w:r>
      <w:r w:rsidRPr="00D87086">
        <w:rPr>
          <w:lang w:val="en-GB"/>
        </w:rPr>
        <w:t xml:space="preserve">linking </w:t>
      </w:r>
      <w:r w:rsidR="005516DE">
        <w:rPr>
          <w:lang w:val="en-GB"/>
        </w:rPr>
        <w:t>sets of</w:t>
      </w:r>
      <w:r w:rsidRPr="004C7100">
        <w:rPr>
          <w:lang w:val="en-GB"/>
        </w:rPr>
        <w:t xml:space="preserve"> </w:t>
      </w:r>
      <w:r w:rsidRPr="00D87086">
        <w:rPr>
          <w:lang w:val="en-GB"/>
        </w:rPr>
        <w:t xml:space="preserve">national experts and research facilities </w:t>
      </w:r>
      <w:r w:rsidR="005516DE">
        <w:rPr>
          <w:lang w:val="en-GB"/>
        </w:rPr>
        <w:t>and</w:t>
      </w:r>
      <w:r w:rsidRPr="004C7100">
        <w:rPr>
          <w:lang w:val="en-GB"/>
        </w:rPr>
        <w:t xml:space="preserve"> </w:t>
      </w:r>
      <w:r w:rsidRPr="00D87086">
        <w:rPr>
          <w:lang w:val="en-GB"/>
        </w:rPr>
        <w:t xml:space="preserve">allowing </w:t>
      </w:r>
      <w:r w:rsidR="00C3149A">
        <w:rPr>
          <w:lang w:val="en-GB"/>
        </w:rPr>
        <w:t xml:space="preserve">health information and </w:t>
      </w:r>
      <w:r w:rsidRPr="00D87086">
        <w:rPr>
          <w:lang w:val="en-GB"/>
        </w:rPr>
        <w:t>research collaboration across Europe with strong ties to existing research</w:t>
      </w:r>
      <w:r w:rsidRPr="004C7100">
        <w:rPr>
          <w:lang w:val="en-GB"/>
        </w:rPr>
        <w:t xml:space="preserve"> </w:t>
      </w:r>
      <w:r w:rsidR="005516DE">
        <w:rPr>
          <w:lang w:val="en-GB"/>
        </w:rPr>
        <w:t>collaborations and</w:t>
      </w:r>
      <w:r w:rsidRPr="00D87086">
        <w:rPr>
          <w:lang w:val="en-GB"/>
        </w:rPr>
        <w:t xml:space="preserve"> projects and national and international institutions and organisations. The national public health institutes or equivalent national health information authorities can have an active role in the HIREP-ERIC and be</w:t>
      </w:r>
      <w:r w:rsidR="00AF512F">
        <w:rPr>
          <w:lang w:val="en-GB"/>
        </w:rPr>
        <w:t xml:space="preserve"> </w:t>
      </w:r>
      <w:r w:rsidR="005516DE">
        <w:rPr>
          <w:lang w:val="en-GB"/>
        </w:rPr>
        <w:t>an important</w:t>
      </w:r>
      <w:r w:rsidR="00AF512F">
        <w:rPr>
          <w:lang w:val="en-GB"/>
        </w:rPr>
        <w:t xml:space="preserve"> </w:t>
      </w:r>
      <w:r w:rsidRPr="00D87086">
        <w:rPr>
          <w:lang w:val="en-GB"/>
        </w:rPr>
        <w:t>driving force.</w:t>
      </w:r>
    </w:p>
    <w:p w14:paraId="55661B0D" w14:textId="77777777" w:rsidR="00E73052" w:rsidRPr="00D87086" w:rsidRDefault="00E73052" w:rsidP="00E73052">
      <w:pPr>
        <w:pStyle w:val="Heading2"/>
        <w:spacing w:after="120" w:line="288" w:lineRule="auto"/>
        <w:ind w:left="576" w:hanging="576"/>
        <w:rPr>
          <w:lang w:val="en-GB"/>
        </w:rPr>
      </w:pPr>
      <w:bookmarkStart w:id="3" w:name="_Toc459641341"/>
      <w:bookmarkStart w:id="4" w:name="_Toc469063794"/>
      <w:r w:rsidRPr="00D87086">
        <w:rPr>
          <w:lang w:val="en-GB"/>
        </w:rPr>
        <w:t>Mission</w:t>
      </w:r>
      <w:bookmarkEnd w:id="3"/>
      <w:bookmarkEnd w:id="4"/>
    </w:p>
    <w:p w14:paraId="4928A5FA" w14:textId="37374640" w:rsidR="00AF512F" w:rsidRPr="00D87086" w:rsidRDefault="00E73052" w:rsidP="00AF512F">
      <w:pPr>
        <w:rPr>
          <w:lang w:val="en-GB"/>
        </w:rPr>
      </w:pPr>
      <w:r w:rsidRPr="00D87086">
        <w:rPr>
          <w:lang w:val="en-GB"/>
        </w:rPr>
        <w:t xml:space="preserve">The HIREP-ERIC </w:t>
      </w:r>
      <w:r w:rsidR="00DE4FEA" w:rsidRPr="00D87086">
        <w:rPr>
          <w:lang w:val="en-GB"/>
        </w:rPr>
        <w:t xml:space="preserve">enhances people’s health and health system performance in the EU </w:t>
      </w:r>
      <w:r w:rsidR="00DE4FEA">
        <w:rPr>
          <w:lang w:val="en-GB"/>
        </w:rPr>
        <w:t xml:space="preserve">by </w:t>
      </w:r>
      <w:r w:rsidR="007E25D9">
        <w:rPr>
          <w:lang w:val="en-GB"/>
        </w:rPr>
        <w:t>stimulat</w:t>
      </w:r>
      <w:r w:rsidR="00DE4FEA">
        <w:rPr>
          <w:lang w:val="en-GB"/>
        </w:rPr>
        <w:t>ing</w:t>
      </w:r>
      <w:r w:rsidR="007E25D9">
        <w:rPr>
          <w:lang w:val="en-GB"/>
        </w:rPr>
        <w:t xml:space="preserve">, </w:t>
      </w:r>
      <w:r w:rsidR="005516DE">
        <w:rPr>
          <w:lang w:val="en-GB"/>
        </w:rPr>
        <w:t>facilitat</w:t>
      </w:r>
      <w:r w:rsidR="00DE4FEA">
        <w:rPr>
          <w:lang w:val="en-GB"/>
        </w:rPr>
        <w:t>ing</w:t>
      </w:r>
      <w:r w:rsidR="005516DE">
        <w:rPr>
          <w:lang w:val="en-GB"/>
        </w:rPr>
        <w:t xml:space="preserve"> and support</w:t>
      </w:r>
      <w:r w:rsidR="00DE4FEA">
        <w:rPr>
          <w:lang w:val="en-GB"/>
        </w:rPr>
        <w:t>ing</w:t>
      </w:r>
      <w:r w:rsidR="005516DE">
        <w:rPr>
          <w:lang w:val="en-GB"/>
        </w:rPr>
        <w:t xml:space="preserve"> </w:t>
      </w:r>
      <w:r w:rsidR="00527F78">
        <w:rPr>
          <w:lang w:val="en-GB"/>
        </w:rPr>
        <w:t xml:space="preserve">comparative health </w:t>
      </w:r>
      <w:r w:rsidR="00CB726E">
        <w:rPr>
          <w:lang w:val="en-GB"/>
        </w:rPr>
        <w:t xml:space="preserve">information and </w:t>
      </w:r>
      <w:r w:rsidR="005516DE">
        <w:rPr>
          <w:lang w:val="en-GB"/>
        </w:rPr>
        <w:t>research</w:t>
      </w:r>
      <w:r w:rsidR="006678F5">
        <w:rPr>
          <w:lang w:val="en-GB"/>
        </w:rPr>
        <w:t xml:space="preserve"> </w:t>
      </w:r>
      <w:r w:rsidR="007066F7">
        <w:rPr>
          <w:lang w:val="en-GB"/>
        </w:rPr>
        <w:t>to</w:t>
      </w:r>
      <w:r w:rsidR="005516DE">
        <w:rPr>
          <w:lang w:val="en-GB"/>
        </w:rPr>
        <w:t xml:space="preserve"> </w:t>
      </w:r>
      <w:r w:rsidRPr="00D87086">
        <w:rPr>
          <w:lang w:val="en-GB"/>
        </w:rPr>
        <w:t xml:space="preserve">enhance </w:t>
      </w:r>
      <w:r w:rsidR="007066F7">
        <w:rPr>
          <w:lang w:val="en-GB"/>
        </w:rPr>
        <w:t xml:space="preserve">our </w:t>
      </w:r>
      <w:r w:rsidR="006678F5">
        <w:rPr>
          <w:lang w:val="en-GB"/>
        </w:rPr>
        <w:t>knowledge about</w:t>
      </w:r>
      <w:r w:rsidRPr="004C7100">
        <w:rPr>
          <w:lang w:val="en-GB"/>
        </w:rPr>
        <w:t xml:space="preserve"> </w:t>
      </w:r>
      <w:r w:rsidR="005516DE">
        <w:rPr>
          <w:lang w:val="en-GB"/>
        </w:rPr>
        <w:t xml:space="preserve">EU </w:t>
      </w:r>
      <w:r w:rsidR="00146F8B">
        <w:rPr>
          <w:lang w:val="en-GB"/>
        </w:rPr>
        <w:t>citizens’</w:t>
      </w:r>
      <w:r w:rsidR="00AF512F">
        <w:rPr>
          <w:lang w:val="en-GB"/>
        </w:rPr>
        <w:t xml:space="preserve"> </w:t>
      </w:r>
      <w:r w:rsidRPr="00D87086">
        <w:rPr>
          <w:lang w:val="en-GB"/>
        </w:rPr>
        <w:t xml:space="preserve">health </w:t>
      </w:r>
      <w:r w:rsidRPr="004C7100">
        <w:rPr>
          <w:lang w:val="en-GB"/>
        </w:rPr>
        <w:t>and health system</w:t>
      </w:r>
      <w:r w:rsidR="007066F7">
        <w:rPr>
          <w:lang w:val="en-GB"/>
        </w:rPr>
        <w:t>s</w:t>
      </w:r>
      <w:r w:rsidR="00AF512F">
        <w:rPr>
          <w:lang w:val="en-GB"/>
        </w:rPr>
        <w:t xml:space="preserve"> </w:t>
      </w:r>
      <w:r w:rsidR="00527F78">
        <w:rPr>
          <w:lang w:val="en-GB"/>
        </w:rPr>
        <w:t>and</w:t>
      </w:r>
      <w:r w:rsidRPr="00D87086">
        <w:rPr>
          <w:lang w:val="en-GB"/>
        </w:rPr>
        <w:t xml:space="preserve"> </w:t>
      </w:r>
      <w:r w:rsidR="00CA4C3B">
        <w:rPr>
          <w:lang w:val="en-GB"/>
        </w:rPr>
        <w:t xml:space="preserve">to </w:t>
      </w:r>
      <w:r w:rsidR="006678F5">
        <w:rPr>
          <w:lang w:val="en-GB"/>
        </w:rPr>
        <w:t xml:space="preserve">facilitate </w:t>
      </w:r>
      <w:r w:rsidRPr="00D87086">
        <w:rPr>
          <w:lang w:val="en-GB"/>
        </w:rPr>
        <w:t xml:space="preserve">multi-level </w:t>
      </w:r>
      <w:r w:rsidR="00DE4FEA">
        <w:rPr>
          <w:lang w:val="en-GB"/>
        </w:rPr>
        <w:t xml:space="preserve">decision-making and </w:t>
      </w:r>
      <w:r w:rsidRPr="00D87086">
        <w:rPr>
          <w:lang w:val="en-GB"/>
        </w:rPr>
        <w:t xml:space="preserve">actions. </w:t>
      </w:r>
    </w:p>
    <w:p w14:paraId="37744302" w14:textId="77777777" w:rsidR="00E73052" w:rsidRPr="00D87086" w:rsidRDefault="00E73052" w:rsidP="00E73052">
      <w:pPr>
        <w:pStyle w:val="Heading2"/>
        <w:spacing w:after="120" w:line="288" w:lineRule="auto"/>
        <w:ind w:left="576" w:hanging="576"/>
        <w:rPr>
          <w:lang w:val="en-GB"/>
        </w:rPr>
      </w:pPr>
      <w:bookmarkStart w:id="5" w:name="_Toc459641342"/>
      <w:bookmarkStart w:id="6" w:name="_Toc469063795"/>
      <w:r w:rsidRPr="00D87086">
        <w:rPr>
          <w:lang w:val="en-GB"/>
        </w:rPr>
        <w:t>Vision</w:t>
      </w:r>
      <w:bookmarkEnd w:id="5"/>
      <w:bookmarkEnd w:id="6"/>
    </w:p>
    <w:p w14:paraId="023B7FBE" w14:textId="58857086" w:rsidR="00E73052" w:rsidRDefault="00E73052" w:rsidP="00E73052">
      <w:pPr>
        <w:rPr>
          <w:lang w:val="en-GB"/>
        </w:rPr>
      </w:pPr>
      <w:r w:rsidRPr="00D87086">
        <w:rPr>
          <w:lang w:val="en-GB"/>
        </w:rPr>
        <w:t xml:space="preserve">Through </w:t>
      </w:r>
      <w:r w:rsidR="00757FB9">
        <w:rPr>
          <w:lang w:val="en-GB"/>
        </w:rPr>
        <w:t xml:space="preserve">its support to </w:t>
      </w:r>
      <w:r w:rsidR="006678F5">
        <w:rPr>
          <w:lang w:val="en-GB"/>
        </w:rPr>
        <w:t>improved</w:t>
      </w:r>
      <w:r w:rsidR="007E25D9">
        <w:rPr>
          <w:lang w:val="en-GB"/>
        </w:rPr>
        <w:t xml:space="preserve"> </w:t>
      </w:r>
      <w:r w:rsidR="00757FB9">
        <w:rPr>
          <w:lang w:val="en-GB"/>
        </w:rPr>
        <w:t xml:space="preserve">health and health systems performance </w:t>
      </w:r>
      <w:r w:rsidR="007E25D9">
        <w:rPr>
          <w:lang w:val="en-GB"/>
        </w:rPr>
        <w:t>data collection</w:t>
      </w:r>
      <w:r w:rsidR="004D1A0B">
        <w:rPr>
          <w:lang w:val="en-GB"/>
        </w:rPr>
        <w:t>,</w:t>
      </w:r>
      <w:r w:rsidR="007E25D9">
        <w:rPr>
          <w:lang w:val="en-GB"/>
        </w:rPr>
        <w:t xml:space="preserve"> </w:t>
      </w:r>
      <w:r w:rsidR="00C3149A">
        <w:rPr>
          <w:lang w:val="en-GB"/>
        </w:rPr>
        <w:t xml:space="preserve">and to </w:t>
      </w:r>
      <w:r w:rsidR="007066F7">
        <w:rPr>
          <w:lang w:val="en-GB"/>
        </w:rPr>
        <w:t xml:space="preserve">more and better </w:t>
      </w:r>
      <w:r w:rsidR="006678F5">
        <w:rPr>
          <w:lang w:val="en-GB"/>
        </w:rPr>
        <w:t xml:space="preserve">comparative </w:t>
      </w:r>
      <w:r w:rsidRPr="00D87086">
        <w:rPr>
          <w:lang w:val="en-GB"/>
        </w:rPr>
        <w:t>research</w:t>
      </w:r>
      <w:r w:rsidR="004D1A0B">
        <w:rPr>
          <w:lang w:val="en-GB"/>
        </w:rPr>
        <w:t xml:space="preserve"> and innovation</w:t>
      </w:r>
      <w:r w:rsidRPr="00D87086">
        <w:rPr>
          <w:lang w:val="en-GB"/>
        </w:rPr>
        <w:t xml:space="preserve">, the </w:t>
      </w:r>
      <w:r w:rsidR="00B9712A" w:rsidRPr="00D87086">
        <w:rPr>
          <w:lang w:val="en-GB"/>
        </w:rPr>
        <w:t xml:space="preserve">HIREP-ERIC </w:t>
      </w:r>
      <w:r w:rsidR="007066F7">
        <w:rPr>
          <w:lang w:val="en-GB"/>
        </w:rPr>
        <w:t xml:space="preserve">will </w:t>
      </w:r>
      <w:r w:rsidRPr="00D87086">
        <w:rPr>
          <w:lang w:val="en-GB"/>
        </w:rPr>
        <w:t xml:space="preserve">provide </w:t>
      </w:r>
      <w:r w:rsidR="00527F78">
        <w:rPr>
          <w:lang w:val="en-GB"/>
        </w:rPr>
        <w:t>a</w:t>
      </w:r>
      <w:r w:rsidR="007066F7">
        <w:rPr>
          <w:lang w:val="en-GB"/>
        </w:rPr>
        <w:t xml:space="preserve"> sustainable</w:t>
      </w:r>
      <w:r w:rsidR="00527F78">
        <w:rPr>
          <w:lang w:val="en-GB"/>
        </w:rPr>
        <w:t xml:space="preserve"> policy relevant </w:t>
      </w:r>
      <w:r w:rsidRPr="00D87086">
        <w:rPr>
          <w:lang w:val="en-GB"/>
        </w:rPr>
        <w:t>knowledge</w:t>
      </w:r>
      <w:r w:rsidR="00372E3D" w:rsidRPr="00D87086">
        <w:rPr>
          <w:lang w:val="en-GB"/>
        </w:rPr>
        <w:t xml:space="preserve"> </w:t>
      </w:r>
      <w:r w:rsidR="00527F78">
        <w:rPr>
          <w:lang w:val="en-GB"/>
        </w:rPr>
        <w:t>base</w:t>
      </w:r>
      <w:r w:rsidR="00AF512F">
        <w:rPr>
          <w:lang w:val="en-GB"/>
        </w:rPr>
        <w:t xml:space="preserve"> </w:t>
      </w:r>
      <w:r w:rsidRPr="00D87086">
        <w:rPr>
          <w:lang w:val="en-GB"/>
        </w:rPr>
        <w:t xml:space="preserve">to improve the well-being and health of EU citizens and populations.  </w:t>
      </w:r>
    </w:p>
    <w:p w14:paraId="3FA05199" w14:textId="77777777" w:rsidR="00E73052" w:rsidRPr="004C7100" w:rsidRDefault="00E73052" w:rsidP="00E73052">
      <w:pPr>
        <w:pStyle w:val="Heading2"/>
        <w:spacing w:after="120" w:line="288" w:lineRule="auto"/>
        <w:ind w:left="576" w:hanging="576"/>
        <w:rPr>
          <w:lang w:val="en-GB"/>
        </w:rPr>
      </w:pPr>
      <w:bookmarkStart w:id="7" w:name="_Toc469063796"/>
      <w:bookmarkStart w:id="8" w:name="_Toc459641344"/>
      <w:r w:rsidRPr="004C7100">
        <w:rPr>
          <w:lang w:val="en-GB"/>
        </w:rPr>
        <w:t>Goal</w:t>
      </w:r>
      <w:r w:rsidR="006678F5">
        <w:rPr>
          <w:lang w:val="en-GB"/>
        </w:rPr>
        <w:t>s</w:t>
      </w:r>
      <w:bookmarkEnd w:id="7"/>
    </w:p>
    <w:bookmarkEnd w:id="8"/>
    <w:p w14:paraId="04672F8F" w14:textId="36EEE8C9" w:rsidR="009F18F2" w:rsidRDefault="00E73052" w:rsidP="00FE2543">
      <w:pPr>
        <w:rPr>
          <w:lang w:val="en-GB"/>
        </w:rPr>
      </w:pPr>
      <w:r w:rsidRPr="00D87086">
        <w:rPr>
          <w:lang w:val="en-GB"/>
        </w:rPr>
        <w:t xml:space="preserve">Through </w:t>
      </w:r>
      <w:r w:rsidR="00E03CF2">
        <w:rPr>
          <w:lang w:val="en-GB"/>
        </w:rPr>
        <w:t>co</w:t>
      </w:r>
      <w:r w:rsidR="007066F7">
        <w:rPr>
          <w:lang w:val="en-GB"/>
        </w:rPr>
        <w:t xml:space="preserve">ordinated </w:t>
      </w:r>
      <w:r w:rsidR="007E25D9">
        <w:rPr>
          <w:lang w:val="en-GB"/>
        </w:rPr>
        <w:t xml:space="preserve">data collection and </w:t>
      </w:r>
      <w:r w:rsidR="007066F7">
        <w:rPr>
          <w:lang w:val="en-GB"/>
        </w:rPr>
        <w:t xml:space="preserve">comparative </w:t>
      </w:r>
      <w:r w:rsidRPr="00D87086">
        <w:rPr>
          <w:lang w:val="en-GB"/>
        </w:rPr>
        <w:t xml:space="preserve">research, the </w:t>
      </w:r>
      <w:r w:rsidR="00B9712A" w:rsidRPr="00D87086">
        <w:rPr>
          <w:lang w:val="en-GB"/>
        </w:rPr>
        <w:t>HIREP-ERIC</w:t>
      </w:r>
      <w:r w:rsidRPr="00D87086">
        <w:rPr>
          <w:lang w:val="en-GB"/>
        </w:rPr>
        <w:t xml:space="preserve"> support</w:t>
      </w:r>
      <w:r w:rsidR="00DE4FEA">
        <w:rPr>
          <w:lang w:val="en-GB"/>
        </w:rPr>
        <w:t>s</w:t>
      </w:r>
      <w:r w:rsidR="00AF512F">
        <w:rPr>
          <w:lang w:val="en-GB"/>
        </w:rPr>
        <w:t xml:space="preserve"> </w:t>
      </w:r>
      <w:r w:rsidRPr="00D87086">
        <w:rPr>
          <w:lang w:val="en-GB"/>
        </w:rPr>
        <w:t xml:space="preserve">policy-making in the EU and all </w:t>
      </w:r>
      <w:r w:rsidR="00CB15F4">
        <w:rPr>
          <w:lang w:val="en-GB"/>
        </w:rPr>
        <w:t>EU countries</w:t>
      </w:r>
      <w:r w:rsidRPr="00D87086">
        <w:rPr>
          <w:lang w:val="en-GB"/>
        </w:rPr>
        <w:t xml:space="preserve"> by ensuring the collection, analysis, </w:t>
      </w:r>
      <w:r w:rsidR="007066F7">
        <w:rPr>
          <w:lang w:val="en-GB"/>
        </w:rPr>
        <w:t xml:space="preserve">integration </w:t>
      </w:r>
      <w:r w:rsidRPr="00D87086">
        <w:rPr>
          <w:lang w:val="en-GB"/>
        </w:rPr>
        <w:t xml:space="preserve">and exchange of health </w:t>
      </w:r>
      <w:r w:rsidR="00527F78">
        <w:rPr>
          <w:lang w:val="en-GB"/>
        </w:rPr>
        <w:t>data and</w:t>
      </w:r>
      <w:r w:rsidRPr="004C7100">
        <w:rPr>
          <w:lang w:val="en-GB"/>
        </w:rPr>
        <w:t xml:space="preserve"> </w:t>
      </w:r>
      <w:r w:rsidR="007066F7">
        <w:rPr>
          <w:lang w:val="en-GB"/>
        </w:rPr>
        <w:t>evidence</w:t>
      </w:r>
      <w:r w:rsidR="00DE4FEA">
        <w:rPr>
          <w:lang w:val="en-GB"/>
        </w:rPr>
        <w:t>, and the translation of the evidence to policy</w:t>
      </w:r>
      <w:r w:rsidR="00527F78">
        <w:rPr>
          <w:lang w:val="en-GB"/>
        </w:rPr>
        <w:t xml:space="preserve">. </w:t>
      </w:r>
    </w:p>
    <w:p w14:paraId="05982452" w14:textId="77777777" w:rsidR="00E73052" w:rsidRPr="00D87086" w:rsidRDefault="00527F78" w:rsidP="00041C0F">
      <w:pPr>
        <w:spacing w:after="0"/>
        <w:rPr>
          <w:lang w:val="en-GB"/>
        </w:rPr>
      </w:pPr>
      <w:r>
        <w:rPr>
          <w:lang w:val="en-GB"/>
        </w:rPr>
        <w:lastRenderedPageBreak/>
        <w:t>This requires:</w:t>
      </w:r>
    </w:p>
    <w:p w14:paraId="38B60713" w14:textId="49A8C6FA" w:rsidR="00E03CF2" w:rsidRDefault="004F484D" w:rsidP="00890E38">
      <w:pPr>
        <w:pStyle w:val="ListParagraph"/>
        <w:numPr>
          <w:ilvl w:val="0"/>
          <w:numId w:val="5"/>
        </w:numPr>
        <w:contextualSpacing/>
        <w:rPr>
          <w:lang w:val="en-GB"/>
        </w:rPr>
      </w:pPr>
      <w:r>
        <w:rPr>
          <w:lang w:val="en-GB"/>
        </w:rPr>
        <w:t xml:space="preserve">ensuring </w:t>
      </w:r>
      <w:r w:rsidR="00C036EC">
        <w:rPr>
          <w:lang w:val="en-GB"/>
        </w:rPr>
        <w:t xml:space="preserve">transparent coordination and </w:t>
      </w:r>
      <w:r w:rsidR="00E03CF2">
        <w:rPr>
          <w:lang w:val="en-GB"/>
        </w:rPr>
        <w:t>centralised governance</w:t>
      </w:r>
      <w:r w:rsidR="00F54C20">
        <w:rPr>
          <w:lang w:val="en-GB"/>
        </w:rPr>
        <w:t xml:space="preserve"> of EU health information</w:t>
      </w:r>
      <w:r w:rsidR="00E03CF2">
        <w:rPr>
          <w:lang w:val="en-GB"/>
        </w:rPr>
        <w:t>;</w:t>
      </w:r>
    </w:p>
    <w:p w14:paraId="0457B058" w14:textId="38BE4D23" w:rsidR="00DE01CA" w:rsidRPr="00D87086" w:rsidRDefault="00DE01CA" w:rsidP="00DE01CA">
      <w:pPr>
        <w:pStyle w:val="ListParagraph"/>
        <w:numPr>
          <w:ilvl w:val="0"/>
          <w:numId w:val="5"/>
        </w:numPr>
        <w:contextualSpacing/>
        <w:rPr>
          <w:lang w:val="en-GB"/>
        </w:rPr>
      </w:pPr>
      <w:r>
        <w:rPr>
          <w:lang w:val="en-GB"/>
        </w:rPr>
        <w:t>aiming at</w:t>
      </w:r>
      <w:r w:rsidRPr="00D87086">
        <w:rPr>
          <w:lang w:val="en-GB"/>
        </w:rPr>
        <w:t xml:space="preserve"> high relevance and usefulness </w:t>
      </w:r>
      <w:r>
        <w:rPr>
          <w:lang w:val="en-GB"/>
        </w:rPr>
        <w:t>of the information</w:t>
      </w:r>
      <w:r w:rsidRPr="004C7100">
        <w:rPr>
          <w:lang w:val="en-GB"/>
        </w:rPr>
        <w:t xml:space="preserve"> (</w:t>
      </w:r>
      <w:r w:rsidR="00595128">
        <w:rPr>
          <w:lang w:val="en-GB"/>
        </w:rPr>
        <w:t>through</w:t>
      </w:r>
      <w:r>
        <w:rPr>
          <w:lang w:val="en-GB"/>
        </w:rPr>
        <w:t xml:space="preserve"> a transparent </w:t>
      </w:r>
      <w:r w:rsidRPr="00D87086">
        <w:rPr>
          <w:lang w:val="en-GB"/>
        </w:rPr>
        <w:t>priority setting method);</w:t>
      </w:r>
    </w:p>
    <w:p w14:paraId="3A3A40F7" w14:textId="4B43C891" w:rsidR="00E73052" w:rsidRPr="00D87086" w:rsidRDefault="00053682" w:rsidP="00890E38">
      <w:pPr>
        <w:pStyle w:val="ListParagraph"/>
        <w:numPr>
          <w:ilvl w:val="0"/>
          <w:numId w:val="5"/>
        </w:numPr>
        <w:contextualSpacing/>
        <w:rPr>
          <w:lang w:val="en-GB"/>
        </w:rPr>
      </w:pPr>
      <w:r>
        <w:rPr>
          <w:lang w:val="en-GB"/>
        </w:rPr>
        <w:t xml:space="preserve">ensuring interoperability through </w:t>
      </w:r>
      <w:r w:rsidR="00527F78">
        <w:rPr>
          <w:lang w:val="en-GB"/>
        </w:rPr>
        <w:t>collecting</w:t>
      </w:r>
      <w:r w:rsidR="007066F7">
        <w:rPr>
          <w:lang w:val="en-GB"/>
        </w:rPr>
        <w:t xml:space="preserve"> more and better</w:t>
      </w:r>
      <w:r w:rsidR="00527F78">
        <w:rPr>
          <w:lang w:val="en-GB"/>
        </w:rPr>
        <w:t xml:space="preserve"> </w:t>
      </w:r>
      <w:r w:rsidR="00E73052" w:rsidRPr="00D87086">
        <w:rPr>
          <w:lang w:val="en-GB"/>
        </w:rPr>
        <w:t>comparable data (</w:t>
      </w:r>
      <w:r w:rsidR="00527F78">
        <w:rPr>
          <w:lang w:val="en-GB"/>
        </w:rPr>
        <w:t xml:space="preserve">by </w:t>
      </w:r>
      <w:r w:rsidR="00DE4FEA">
        <w:rPr>
          <w:lang w:val="en-GB"/>
        </w:rPr>
        <w:t>(pre-/post-)</w:t>
      </w:r>
      <w:r w:rsidR="00E73052" w:rsidRPr="00D87086">
        <w:rPr>
          <w:lang w:val="en-GB"/>
        </w:rPr>
        <w:t>harmonisation and standardisation</w:t>
      </w:r>
      <w:r w:rsidR="00527F78">
        <w:rPr>
          <w:lang w:val="en-GB"/>
        </w:rPr>
        <w:t xml:space="preserve"> of definitions</w:t>
      </w:r>
      <w:r w:rsidR="007066F7">
        <w:rPr>
          <w:lang w:val="en-GB"/>
        </w:rPr>
        <w:t>, tools</w:t>
      </w:r>
      <w:r w:rsidR="00527F78">
        <w:rPr>
          <w:lang w:val="en-GB"/>
        </w:rPr>
        <w:t xml:space="preserve"> and methods</w:t>
      </w:r>
      <w:r w:rsidR="00E73052" w:rsidRPr="00D87086">
        <w:rPr>
          <w:lang w:val="en-GB"/>
        </w:rPr>
        <w:t>);</w:t>
      </w:r>
    </w:p>
    <w:p w14:paraId="59BA165A" w14:textId="013B62E9" w:rsidR="00041C0F" w:rsidRPr="00D87086" w:rsidRDefault="00041C0F" w:rsidP="00890E38">
      <w:pPr>
        <w:pStyle w:val="ListParagraph"/>
        <w:numPr>
          <w:ilvl w:val="0"/>
          <w:numId w:val="5"/>
        </w:numPr>
        <w:contextualSpacing/>
        <w:rPr>
          <w:lang w:val="en-GB"/>
        </w:rPr>
      </w:pPr>
      <w:r>
        <w:rPr>
          <w:lang w:val="en-GB"/>
        </w:rPr>
        <w:t xml:space="preserve">delivering </w:t>
      </w:r>
      <w:r w:rsidRPr="00D87086">
        <w:rPr>
          <w:lang w:val="en-GB"/>
        </w:rPr>
        <w:t xml:space="preserve">high quality </w:t>
      </w:r>
      <w:r w:rsidR="004F484D">
        <w:rPr>
          <w:lang w:val="en-GB"/>
        </w:rPr>
        <w:t>information</w:t>
      </w:r>
      <w:r w:rsidR="004F484D" w:rsidRPr="004C7100">
        <w:rPr>
          <w:lang w:val="en-GB"/>
        </w:rPr>
        <w:t xml:space="preserve"> </w:t>
      </w:r>
      <w:r w:rsidR="00F54C20">
        <w:rPr>
          <w:lang w:val="en-GB"/>
        </w:rPr>
        <w:t xml:space="preserve">and research </w:t>
      </w:r>
      <w:r w:rsidRPr="00D87086">
        <w:rPr>
          <w:lang w:val="en-GB"/>
        </w:rPr>
        <w:t xml:space="preserve">(timeliness, </w:t>
      </w:r>
      <w:r>
        <w:rPr>
          <w:lang w:val="en-GB"/>
        </w:rPr>
        <w:t xml:space="preserve">high </w:t>
      </w:r>
      <w:r w:rsidRPr="00D87086">
        <w:rPr>
          <w:lang w:val="en-GB"/>
        </w:rPr>
        <w:t>internal and external validity);</w:t>
      </w:r>
    </w:p>
    <w:p w14:paraId="52F85907" w14:textId="54920766" w:rsidR="00E03CF2" w:rsidRDefault="00E73052" w:rsidP="00890E38">
      <w:pPr>
        <w:pStyle w:val="ListParagraph"/>
        <w:numPr>
          <w:ilvl w:val="0"/>
          <w:numId w:val="5"/>
        </w:numPr>
        <w:contextualSpacing/>
        <w:rPr>
          <w:lang w:val="en-GB"/>
        </w:rPr>
      </w:pPr>
      <w:r w:rsidRPr="00E03CF2">
        <w:rPr>
          <w:lang w:val="en-GB"/>
        </w:rPr>
        <w:t xml:space="preserve">reducing </w:t>
      </w:r>
      <w:r w:rsidR="00380B15" w:rsidRPr="00E03CF2">
        <w:rPr>
          <w:lang w:val="en-GB"/>
        </w:rPr>
        <w:t>information</w:t>
      </w:r>
      <w:r w:rsidR="00041C0F">
        <w:rPr>
          <w:lang w:val="en-GB"/>
        </w:rPr>
        <w:t xml:space="preserve"> inequalities</w:t>
      </w:r>
      <w:r w:rsidR="00380B15" w:rsidRPr="00E03CF2">
        <w:rPr>
          <w:lang w:val="en-GB"/>
        </w:rPr>
        <w:t xml:space="preserve"> </w:t>
      </w:r>
      <w:r w:rsidR="00DE01CA">
        <w:rPr>
          <w:lang w:val="en-GB"/>
        </w:rPr>
        <w:t xml:space="preserve">between </w:t>
      </w:r>
      <w:r w:rsidR="00CB15F4">
        <w:rPr>
          <w:lang w:val="en-GB"/>
        </w:rPr>
        <w:t>EU countries</w:t>
      </w:r>
      <w:r w:rsidR="00DE01CA">
        <w:rPr>
          <w:lang w:val="en-GB"/>
        </w:rPr>
        <w:t xml:space="preserve"> </w:t>
      </w:r>
      <w:r w:rsidRPr="00E03CF2">
        <w:rPr>
          <w:lang w:val="en-GB"/>
        </w:rPr>
        <w:t xml:space="preserve">and addressing </w:t>
      </w:r>
      <w:r w:rsidR="00380B15" w:rsidRPr="00E03CF2">
        <w:rPr>
          <w:lang w:val="en-GB"/>
        </w:rPr>
        <w:t>knowledge</w:t>
      </w:r>
      <w:r w:rsidRPr="00E03CF2">
        <w:rPr>
          <w:lang w:val="en-GB"/>
        </w:rPr>
        <w:t xml:space="preserve"> </w:t>
      </w:r>
      <w:r w:rsidR="00E03CF2">
        <w:rPr>
          <w:lang w:val="en-GB"/>
        </w:rPr>
        <w:t xml:space="preserve">needs; </w:t>
      </w:r>
    </w:p>
    <w:p w14:paraId="1C7C55AF" w14:textId="3B398C06" w:rsidR="00652B97" w:rsidRDefault="00652B97" w:rsidP="00890E38">
      <w:pPr>
        <w:pStyle w:val="ListParagraph"/>
        <w:numPr>
          <w:ilvl w:val="0"/>
          <w:numId w:val="5"/>
        </w:numPr>
        <w:contextualSpacing/>
        <w:rPr>
          <w:lang w:val="en-GB"/>
        </w:rPr>
      </w:pPr>
      <w:r>
        <w:rPr>
          <w:lang w:val="en-GB"/>
        </w:rPr>
        <w:t xml:space="preserve">solving gaps and </w:t>
      </w:r>
      <w:r w:rsidR="00D67CD5">
        <w:rPr>
          <w:lang w:val="en-GB"/>
        </w:rPr>
        <w:t xml:space="preserve">enhancing </w:t>
      </w:r>
      <w:r>
        <w:rPr>
          <w:lang w:val="en-GB"/>
        </w:rPr>
        <w:t>efficiencies in health information;</w:t>
      </w:r>
    </w:p>
    <w:p w14:paraId="68EFE2E1" w14:textId="77777777" w:rsidR="00E03CF2" w:rsidRDefault="00041C0F" w:rsidP="00890E38">
      <w:pPr>
        <w:pStyle w:val="ListParagraph"/>
        <w:numPr>
          <w:ilvl w:val="0"/>
          <w:numId w:val="5"/>
        </w:numPr>
        <w:contextualSpacing/>
        <w:rPr>
          <w:lang w:val="en-GB"/>
        </w:rPr>
      </w:pPr>
      <w:r>
        <w:rPr>
          <w:lang w:val="en-GB"/>
        </w:rPr>
        <w:t>providing better access to comparable health data, methods and tools;</w:t>
      </w:r>
    </w:p>
    <w:p w14:paraId="55DFB671" w14:textId="77777777" w:rsidR="00E03CF2" w:rsidRPr="00E03CF2" w:rsidRDefault="00E03CF2" w:rsidP="00890E38">
      <w:pPr>
        <w:pStyle w:val="ListParagraph"/>
        <w:numPr>
          <w:ilvl w:val="0"/>
          <w:numId w:val="5"/>
        </w:numPr>
        <w:contextualSpacing/>
        <w:rPr>
          <w:lang w:val="en-GB"/>
        </w:rPr>
      </w:pPr>
      <w:r w:rsidRPr="00E03CF2">
        <w:rPr>
          <w:lang w:val="en-GB"/>
        </w:rPr>
        <w:t>supporting stronger health research networks and communities (through capacity building and exchange of expertise and knowledge);</w:t>
      </w:r>
    </w:p>
    <w:p w14:paraId="0266EBB0" w14:textId="77777777" w:rsidR="00E03CF2" w:rsidRPr="00D87086" w:rsidRDefault="00E03CF2" w:rsidP="00890E38">
      <w:pPr>
        <w:pStyle w:val="ListParagraph"/>
        <w:numPr>
          <w:ilvl w:val="0"/>
          <w:numId w:val="5"/>
        </w:numPr>
        <w:contextualSpacing/>
        <w:rPr>
          <w:lang w:val="en-GB"/>
        </w:rPr>
      </w:pPr>
      <w:r>
        <w:rPr>
          <w:lang w:val="en-GB"/>
        </w:rPr>
        <w:t>enhancing evidence synthesis and knowledge translation;</w:t>
      </w:r>
    </w:p>
    <w:p w14:paraId="416C8239" w14:textId="77777777" w:rsidR="00CA48C3" w:rsidRPr="00652B97" w:rsidRDefault="00486379" w:rsidP="00890E38">
      <w:pPr>
        <w:pStyle w:val="ListParagraph"/>
        <w:numPr>
          <w:ilvl w:val="0"/>
          <w:numId w:val="5"/>
        </w:numPr>
        <w:contextualSpacing/>
        <w:rPr>
          <w:lang w:val="en-GB"/>
        </w:rPr>
      </w:pPr>
      <w:proofErr w:type="gramStart"/>
      <w:r w:rsidRPr="00652B97">
        <w:rPr>
          <w:lang w:val="en-GB"/>
        </w:rPr>
        <w:t>addressing</w:t>
      </w:r>
      <w:proofErr w:type="gramEnd"/>
      <w:r w:rsidR="00E73052" w:rsidRPr="00652B97">
        <w:rPr>
          <w:lang w:val="en-GB"/>
        </w:rPr>
        <w:t xml:space="preserve"> </w:t>
      </w:r>
      <w:r w:rsidR="007066F7" w:rsidRPr="00652B97">
        <w:rPr>
          <w:lang w:val="en-GB"/>
        </w:rPr>
        <w:t>relevant</w:t>
      </w:r>
      <w:r w:rsidR="00E73052" w:rsidRPr="00652B97">
        <w:rPr>
          <w:lang w:val="en-GB"/>
        </w:rPr>
        <w:t xml:space="preserve"> ethical and legal issues</w:t>
      </w:r>
      <w:r w:rsidR="00527F78" w:rsidRPr="00652B97">
        <w:rPr>
          <w:lang w:val="en-GB"/>
        </w:rPr>
        <w:t xml:space="preserve"> (privacy, data security)</w:t>
      </w:r>
      <w:r w:rsidR="00652B97" w:rsidRPr="00652B97">
        <w:rPr>
          <w:lang w:val="en-GB"/>
        </w:rPr>
        <w:t>.</w:t>
      </w:r>
    </w:p>
    <w:p w14:paraId="7ACCA2E4" w14:textId="77777777" w:rsidR="00C67DA9" w:rsidRPr="00D87086" w:rsidRDefault="00C67DA9" w:rsidP="00C67DA9">
      <w:pPr>
        <w:pStyle w:val="Heading2"/>
        <w:spacing w:after="120" w:line="288" w:lineRule="auto"/>
        <w:ind w:left="576" w:hanging="576"/>
        <w:rPr>
          <w:lang w:val="en-GB"/>
        </w:rPr>
      </w:pPr>
      <w:bookmarkStart w:id="9" w:name="_Toc459388350"/>
      <w:bookmarkStart w:id="10" w:name="_Toc469063797"/>
      <w:r w:rsidRPr="00D87086">
        <w:rPr>
          <w:lang w:val="en-GB"/>
        </w:rPr>
        <w:t>Services</w:t>
      </w:r>
      <w:r>
        <w:rPr>
          <w:lang w:val="en-GB"/>
        </w:rPr>
        <w:t xml:space="preserve"> and tasks</w:t>
      </w:r>
      <w:r w:rsidRPr="00D87086">
        <w:rPr>
          <w:lang w:val="en-GB"/>
        </w:rPr>
        <w:t xml:space="preserve"> provided by the HIREP-ERIC</w:t>
      </w:r>
      <w:bookmarkEnd w:id="9"/>
      <w:bookmarkEnd w:id="10"/>
    </w:p>
    <w:p w14:paraId="17920209" w14:textId="413532A5" w:rsidR="00676557" w:rsidRDefault="00C67DA9" w:rsidP="005B54E3">
      <w:pPr>
        <w:rPr>
          <w:lang w:val="en-GB"/>
        </w:rPr>
      </w:pPr>
      <w:r>
        <w:rPr>
          <w:lang w:val="en-GB"/>
        </w:rPr>
        <w:t xml:space="preserve">The HIREP-ERIC </w:t>
      </w:r>
      <w:r w:rsidR="00C036EC">
        <w:rPr>
          <w:lang w:val="en-GB"/>
        </w:rPr>
        <w:t xml:space="preserve">provides </w:t>
      </w:r>
      <w:r w:rsidR="00747213">
        <w:rPr>
          <w:lang w:val="en-GB"/>
        </w:rPr>
        <w:t xml:space="preserve">central governance for regular availability and easy access to high quality and </w:t>
      </w:r>
      <w:r w:rsidR="00C036EC">
        <w:rPr>
          <w:lang w:val="en-GB"/>
        </w:rPr>
        <w:t>comparable</w:t>
      </w:r>
      <w:r w:rsidR="00747213">
        <w:rPr>
          <w:lang w:val="en-GB"/>
        </w:rPr>
        <w:t xml:space="preserve"> data from </w:t>
      </w:r>
      <w:r w:rsidR="00CB15F4">
        <w:rPr>
          <w:lang w:val="en-GB"/>
        </w:rPr>
        <w:t>EU countries</w:t>
      </w:r>
      <w:r w:rsidR="00747213">
        <w:rPr>
          <w:lang w:val="en-GB"/>
        </w:rPr>
        <w:t xml:space="preserve"> </w:t>
      </w:r>
      <w:r w:rsidR="00676557">
        <w:rPr>
          <w:lang w:val="en-GB"/>
        </w:rPr>
        <w:t>for research purposes</w:t>
      </w:r>
      <w:r w:rsidR="00BD223C">
        <w:rPr>
          <w:lang w:val="en-GB"/>
        </w:rPr>
        <w:t xml:space="preserve"> </w:t>
      </w:r>
      <w:r w:rsidR="00747213">
        <w:rPr>
          <w:lang w:val="en-GB"/>
        </w:rPr>
        <w:t xml:space="preserve">at </w:t>
      </w:r>
      <w:r w:rsidR="00CB15F4">
        <w:rPr>
          <w:lang w:val="en-GB"/>
        </w:rPr>
        <w:t>national</w:t>
      </w:r>
      <w:r w:rsidR="00B12324">
        <w:rPr>
          <w:lang w:val="en-GB"/>
        </w:rPr>
        <w:t xml:space="preserve">, </w:t>
      </w:r>
      <w:r w:rsidR="00747213">
        <w:rPr>
          <w:lang w:val="en-GB"/>
        </w:rPr>
        <w:t>EU and international level</w:t>
      </w:r>
      <w:r w:rsidR="00BD223C">
        <w:rPr>
          <w:lang w:val="en-GB"/>
        </w:rPr>
        <w:t xml:space="preserve"> </w:t>
      </w:r>
      <w:r w:rsidR="00747213">
        <w:rPr>
          <w:lang w:val="en-GB"/>
        </w:rPr>
        <w:t xml:space="preserve">in </w:t>
      </w:r>
      <w:r w:rsidR="00747213" w:rsidRPr="00747213">
        <w:rPr>
          <w:lang w:val="en-GB"/>
        </w:rPr>
        <w:t>fields of population health monitoring and health system performance assessment</w:t>
      </w:r>
      <w:r w:rsidR="00747213">
        <w:rPr>
          <w:lang w:val="en-GB"/>
        </w:rPr>
        <w:t xml:space="preserve">. It will provide an organisational structure and methods to achieve this in a streamlined and efficient way. </w:t>
      </w:r>
    </w:p>
    <w:p w14:paraId="5764DAD3" w14:textId="3D649563" w:rsidR="005B54E3" w:rsidRDefault="00747213" w:rsidP="005B54E3">
      <w:pPr>
        <w:rPr>
          <w:lang w:val="en-GB"/>
        </w:rPr>
      </w:pPr>
      <w:r>
        <w:rPr>
          <w:lang w:val="en-GB"/>
        </w:rPr>
        <w:t>The HIREP-ERIC will not do what other stakeholders already do,</w:t>
      </w:r>
      <w:r w:rsidRPr="00747213">
        <w:rPr>
          <w:lang w:val="en-GB"/>
        </w:rPr>
        <w:t xml:space="preserve"> </w:t>
      </w:r>
      <w:r w:rsidRPr="00D87086">
        <w:rPr>
          <w:lang w:val="en-GB"/>
        </w:rPr>
        <w:t xml:space="preserve">but liaise and guide </w:t>
      </w:r>
      <w:r w:rsidR="007265E6">
        <w:rPr>
          <w:lang w:val="en-GB"/>
        </w:rPr>
        <w:t xml:space="preserve">institutions in charge of health information and </w:t>
      </w:r>
      <w:r w:rsidRPr="00D87086">
        <w:rPr>
          <w:lang w:val="en-GB"/>
        </w:rPr>
        <w:t>researchers to available and comparable data.</w:t>
      </w:r>
      <w:r>
        <w:rPr>
          <w:lang w:val="en-GB"/>
        </w:rPr>
        <w:t xml:space="preserve"> </w:t>
      </w:r>
      <w:r w:rsidR="00C67DA9" w:rsidRPr="00D87086">
        <w:rPr>
          <w:lang w:val="en-GB"/>
        </w:rPr>
        <w:t>The HIREP-ERIC will facilitate and support network building</w:t>
      </w:r>
      <w:r w:rsidR="007F48B9">
        <w:rPr>
          <w:lang w:val="en-GB"/>
        </w:rPr>
        <w:t>, carry out horizon scanning activities and coordinate</w:t>
      </w:r>
      <w:r w:rsidR="00C67DA9" w:rsidRPr="00D87086">
        <w:rPr>
          <w:lang w:val="en-GB"/>
        </w:rPr>
        <w:t xml:space="preserve"> research project development, in particular in new or underdeveloped health policy areas in the EU. </w:t>
      </w:r>
    </w:p>
    <w:p w14:paraId="532BBC66" w14:textId="77777777" w:rsidR="00FD1DB3" w:rsidRPr="00FD1DB3" w:rsidRDefault="005B54E3" w:rsidP="00754D94">
      <w:pPr>
        <w:rPr>
          <w:lang w:val="en-GB"/>
        </w:rPr>
      </w:pPr>
      <w:r w:rsidRPr="00D87086">
        <w:rPr>
          <w:lang w:val="en-GB"/>
        </w:rPr>
        <w:t xml:space="preserve">A variety of services that will support research are to be provided by the </w:t>
      </w:r>
      <w:r w:rsidR="00676557">
        <w:rPr>
          <w:lang w:val="en-GB"/>
        </w:rPr>
        <w:t>HIREP-</w:t>
      </w:r>
      <w:r w:rsidRPr="00D87086">
        <w:rPr>
          <w:lang w:val="en-GB"/>
        </w:rPr>
        <w:t>ERIC. The core activities of the HI</w:t>
      </w:r>
      <w:r w:rsidR="003B49FC">
        <w:rPr>
          <w:lang w:val="en-GB"/>
        </w:rPr>
        <w:t>REP-ERIC will revolve around</w:t>
      </w:r>
      <w:r w:rsidR="00754D94">
        <w:rPr>
          <w:lang w:val="en-GB"/>
        </w:rPr>
        <w:t xml:space="preserve"> </w:t>
      </w:r>
      <w:r w:rsidR="003B49FC" w:rsidRPr="00FD1DB3">
        <w:rPr>
          <w:lang w:val="en-GB"/>
        </w:rPr>
        <w:t>generating knowledge</w:t>
      </w:r>
      <w:r w:rsidRPr="00FD1DB3">
        <w:rPr>
          <w:lang w:val="en-GB"/>
        </w:rPr>
        <w:t>,</w:t>
      </w:r>
      <w:r w:rsidR="00754D94">
        <w:rPr>
          <w:lang w:val="en-GB"/>
        </w:rPr>
        <w:t xml:space="preserve"> </w:t>
      </w:r>
      <w:r w:rsidR="00FD1DB3" w:rsidRPr="00FD1DB3">
        <w:rPr>
          <w:lang w:val="en-GB"/>
        </w:rPr>
        <w:t>hosting</w:t>
      </w:r>
      <w:r w:rsidR="00B01FA8" w:rsidRPr="00FD1DB3">
        <w:rPr>
          <w:lang w:val="en-GB"/>
        </w:rPr>
        <w:t xml:space="preserve"> </w:t>
      </w:r>
      <w:r w:rsidR="003B49FC" w:rsidRPr="00FD1DB3">
        <w:rPr>
          <w:lang w:val="en-GB"/>
        </w:rPr>
        <w:t>knowledge,</w:t>
      </w:r>
      <w:r w:rsidRPr="00FD1DB3">
        <w:rPr>
          <w:lang w:val="en-GB"/>
        </w:rPr>
        <w:t xml:space="preserve"> </w:t>
      </w:r>
      <w:r w:rsidR="00754D94">
        <w:rPr>
          <w:lang w:val="en-GB"/>
        </w:rPr>
        <w:t xml:space="preserve">exchanging knowledge and </w:t>
      </w:r>
      <w:r w:rsidR="00FD1DB3" w:rsidRPr="00FD1DB3">
        <w:rPr>
          <w:lang w:val="en-GB"/>
        </w:rPr>
        <w:t xml:space="preserve">translating knowledge. </w:t>
      </w:r>
      <w:r w:rsidR="00104901">
        <w:rPr>
          <w:lang w:val="en-GB"/>
        </w:rPr>
        <w:t>This includes support in planning health information strategies and liaising with stakeholders.</w:t>
      </w:r>
    </w:p>
    <w:p w14:paraId="4FE77689" w14:textId="77777777" w:rsidR="00B23A4C" w:rsidRDefault="006300AA" w:rsidP="00FD1DB3">
      <w:pPr>
        <w:pStyle w:val="Heading3"/>
        <w:rPr>
          <w:lang w:val="en-GB"/>
        </w:rPr>
      </w:pPr>
      <w:bookmarkStart w:id="11" w:name="_Toc469063798"/>
      <w:r w:rsidRPr="006300AA">
        <w:rPr>
          <w:lang w:val="en-GB"/>
        </w:rPr>
        <w:t xml:space="preserve">Generating </w:t>
      </w:r>
      <w:r w:rsidR="001A3AE6">
        <w:rPr>
          <w:lang w:val="en-GB"/>
        </w:rPr>
        <w:t>knowledge</w:t>
      </w:r>
      <w:r w:rsidR="00DB38A6">
        <w:rPr>
          <w:lang w:val="en-GB"/>
        </w:rPr>
        <w:t>: health data and indicators</w:t>
      </w:r>
      <w:bookmarkEnd w:id="11"/>
    </w:p>
    <w:p w14:paraId="2E06409A" w14:textId="31505314" w:rsidR="00DE7886" w:rsidRDefault="00DB38A6" w:rsidP="00B01FA8">
      <w:pPr>
        <w:spacing w:after="0"/>
        <w:contextualSpacing/>
        <w:rPr>
          <w:lang w:val="en-GB"/>
        </w:rPr>
      </w:pPr>
      <w:r w:rsidRPr="005B54E3">
        <w:rPr>
          <w:lang w:val="en-GB"/>
        </w:rPr>
        <w:t xml:space="preserve">The HIREP-ERIC will provide technical and expert support for </w:t>
      </w:r>
      <w:r w:rsidR="000B15B4">
        <w:rPr>
          <w:lang w:val="en-GB"/>
        </w:rPr>
        <w:t xml:space="preserve">the development of </w:t>
      </w:r>
      <w:r w:rsidRPr="005B54E3">
        <w:rPr>
          <w:lang w:val="en-GB"/>
        </w:rPr>
        <w:t xml:space="preserve">comparable, standardised and accessible data and indicators for health status and health determinants, health services and health systems. </w:t>
      </w:r>
    </w:p>
    <w:p w14:paraId="2EF2852D" w14:textId="3EE95ABA" w:rsidR="00DE7886" w:rsidRDefault="00DB38A6" w:rsidP="00B01FA8">
      <w:pPr>
        <w:spacing w:after="0"/>
        <w:contextualSpacing/>
        <w:rPr>
          <w:lang w:val="en-GB"/>
        </w:rPr>
      </w:pPr>
      <w:r w:rsidRPr="005B54E3">
        <w:rPr>
          <w:lang w:val="en-GB"/>
        </w:rPr>
        <w:t>This includes updating and developing new indicators</w:t>
      </w:r>
      <w:r w:rsidR="00910719">
        <w:rPr>
          <w:lang w:val="en-GB"/>
        </w:rPr>
        <w:t>,</w:t>
      </w:r>
      <w:r w:rsidR="00177B4F">
        <w:rPr>
          <w:lang w:val="en-GB"/>
        </w:rPr>
        <w:t xml:space="preserve"> where needed</w:t>
      </w:r>
      <w:r w:rsidRPr="005B54E3">
        <w:rPr>
          <w:lang w:val="en-GB"/>
        </w:rPr>
        <w:t xml:space="preserve">, and improving and evaluating existing indicator sets. </w:t>
      </w:r>
      <w:r w:rsidR="008A1100">
        <w:rPr>
          <w:lang w:val="en-GB"/>
        </w:rPr>
        <w:t>Also the indicators will be more clearly related to</w:t>
      </w:r>
      <w:r w:rsidR="0037313E">
        <w:rPr>
          <w:lang w:val="en-GB"/>
        </w:rPr>
        <w:t xml:space="preserve"> the</w:t>
      </w:r>
      <w:r w:rsidR="008A1100">
        <w:rPr>
          <w:lang w:val="en-GB"/>
        </w:rPr>
        <w:t xml:space="preserve"> decision making processes at Eurostat, WHO and OECD. </w:t>
      </w:r>
      <w:r w:rsidR="00DE0CEF">
        <w:rPr>
          <w:lang w:val="en-GB"/>
        </w:rPr>
        <w:t xml:space="preserve">This will allow </w:t>
      </w:r>
      <w:proofErr w:type="gramStart"/>
      <w:r w:rsidR="00DE0CEF">
        <w:rPr>
          <w:lang w:val="en-GB"/>
        </w:rPr>
        <w:t>to reduce</w:t>
      </w:r>
      <w:proofErr w:type="gramEnd"/>
      <w:r w:rsidR="00DE0CEF">
        <w:rPr>
          <w:lang w:val="en-GB"/>
        </w:rPr>
        <w:t xml:space="preserve"> duplication with</w:t>
      </w:r>
      <w:r w:rsidR="0037313E">
        <w:rPr>
          <w:lang w:val="en-GB"/>
        </w:rPr>
        <w:t>in</w:t>
      </w:r>
      <w:r w:rsidR="00DE0CEF">
        <w:rPr>
          <w:lang w:val="en-GB"/>
        </w:rPr>
        <w:t xml:space="preserve"> the European health information sphere. </w:t>
      </w:r>
    </w:p>
    <w:p w14:paraId="5ECF980B" w14:textId="77777777" w:rsidR="007A6E01" w:rsidRDefault="007A6E01" w:rsidP="00B01FA8">
      <w:pPr>
        <w:spacing w:after="0"/>
        <w:contextualSpacing/>
        <w:rPr>
          <w:lang w:val="en-GB"/>
        </w:rPr>
      </w:pPr>
    </w:p>
    <w:p w14:paraId="2AA42CAF" w14:textId="4C23ACCE" w:rsidR="00FE0A7F" w:rsidRDefault="00DB38A6" w:rsidP="00B01FA8">
      <w:pPr>
        <w:spacing w:after="0"/>
        <w:contextualSpacing/>
        <w:rPr>
          <w:lang w:val="en-GB"/>
        </w:rPr>
      </w:pPr>
      <w:r w:rsidRPr="005B54E3">
        <w:rPr>
          <w:lang w:val="en-GB"/>
        </w:rPr>
        <w:lastRenderedPageBreak/>
        <w:t>The HIREP-ERIC will facilitate the regular generation of comparable data sets</w:t>
      </w:r>
      <w:r w:rsidR="008A1100">
        <w:rPr>
          <w:lang w:val="en-GB"/>
        </w:rPr>
        <w:t>.</w:t>
      </w:r>
      <w:r w:rsidR="004772F4">
        <w:rPr>
          <w:lang w:val="en-GB"/>
        </w:rPr>
        <w:t xml:space="preserve"> </w:t>
      </w:r>
      <w:r w:rsidR="008A1100">
        <w:rPr>
          <w:lang w:val="en-GB"/>
        </w:rPr>
        <w:t>It</w:t>
      </w:r>
      <w:r w:rsidR="0093505E">
        <w:rPr>
          <w:lang w:val="en-GB"/>
        </w:rPr>
        <w:t xml:space="preserve"> will identify gaps in health information, </w:t>
      </w:r>
      <w:r w:rsidR="00FE0A7F">
        <w:rPr>
          <w:lang w:val="en-GB"/>
        </w:rPr>
        <w:t xml:space="preserve">e.g. </w:t>
      </w:r>
      <w:r w:rsidR="00FE0A7F" w:rsidRPr="005B54E3">
        <w:rPr>
          <w:lang w:val="en-GB"/>
        </w:rPr>
        <w:t xml:space="preserve">regarding key determinants of </w:t>
      </w:r>
      <w:r w:rsidR="00FE0A7F">
        <w:rPr>
          <w:lang w:val="en-GB"/>
        </w:rPr>
        <w:t xml:space="preserve">health, </w:t>
      </w:r>
      <w:r w:rsidR="00FE0A7F" w:rsidRPr="005B54E3">
        <w:rPr>
          <w:lang w:val="en-GB"/>
        </w:rPr>
        <w:t xml:space="preserve">ill-health and on key cross-cutting issues, such as better regional information, inequalities, </w:t>
      </w:r>
      <w:r w:rsidR="00FE0A7F">
        <w:rPr>
          <w:lang w:val="en-GB"/>
        </w:rPr>
        <w:t xml:space="preserve">and specific population groups. </w:t>
      </w:r>
    </w:p>
    <w:p w14:paraId="7DBB4BAB" w14:textId="0161222A" w:rsidR="00693B1A" w:rsidRDefault="00FE0A7F" w:rsidP="00B01FA8">
      <w:pPr>
        <w:spacing w:after="0"/>
        <w:contextualSpacing/>
        <w:rPr>
          <w:lang w:val="en-GB"/>
        </w:rPr>
      </w:pPr>
      <w:r>
        <w:rPr>
          <w:lang w:val="en-GB"/>
        </w:rPr>
        <w:t xml:space="preserve">It will then facilitate </w:t>
      </w:r>
      <w:r w:rsidR="0093505E">
        <w:rPr>
          <w:lang w:val="en-GB"/>
        </w:rPr>
        <w:t xml:space="preserve">finding solutions </w:t>
      </w:r>
      <w:r>
        <w:rPr>
          <w:lang w:val="en-GB"/>
        </w:rPr>
        <w:t xml:space="preserve">to </w:t>
      </w:r>
      <w:r w:rsidR="0093505E">
        <w:rPr>
          <w:lang w:val="en-GB"/>
        </w:rPr>
        <w:t xml:space="preserve">data gaps, </w:t>
      </w:r>
      <w:r>
        <w:rPr>
          <w:lang w:val="en-GB"/>
        </w:rPr>
        <w:t>exploiting efficiencies in data collection and in the utilization of</w:t>
      </w:r>
      <w:r w:rsidR="00D927FF">
        <w:rPr>
          <w:lang w:val="en-GB"/>
        </w:rPr>
        <w:t xml:space="preserve"> existing data</w:t>
      </w:r>
      <w:r>
        <w:rPr>
          <w:lang w:val="en-GB"/>
        </w:rPr>
        <w:t xml:space="preserve">, or developing recommendations </w:t>
      </w:r>
      <w:r w:rsidR="002738B8">
        <w:rPr>
          <w:lang w:val="en-GB"/>
        </w:rPr>
        <w:t xml:space="preserve">and providing technical assistance </w:t>
      </w:r>
      <w:r>
        <w:rPr>
          <w:lang w:val="en-GB"/>
        </w:rPr>
        <w:t>for the collection of new data if necessary</w:t>
      </w:r>
      <w:r w:rsidR="001A3AE6" w:rsidRPr="005B54E3">
        <w:rPr>
          <w:lang w:val="en-GB"/>
        </w:rPr>
        <w:t xml:space="preserve">. </w:t>
      </w:r>
    </w:p>
    <w:p w14:paraId="1552E086" w14:textId="77777777" w:rsidR="00676557" w:rsidRDefault="00676557" w:rsidP="00B01FA8">
      <w:pPr>
        <w:spacing w:after="0"/>
        <w:contextualSpacing/>
        <w:rPr>
          <w:lang w:val="en-GB"/>
        </w:rPr>
      </w:pPr>
    </w:p>
    <w:p w14:paraId="277C42D5" w14:textId="339065EA" w:rsidR="00DB38A6" w:rsidRDefault="001A3AE6" w:rsidP="00B01FA8">
      <w:pPr>
        <w:spacing w:after="0"/>
        <w:contextualSpacing/>
        <w:rPr>
          <w:lang w:val="en-GB"/>
        </w:rPr>
      </w:pPr>
      <w:r w:rsidRPr="005B54E3">
        <w:rPr>
          <w:lang w:val="en-GB"/>
        </w:rPr>
        <w:t>The HIREP-ERIC will not only provide information about</w:t>
      </w:r>
      <w:r w:rsidR="00825DCD">
        <w:rPr>
          <w:lang w:val="en-GB"/>
        </w:rPr>
        <w:t xml:space="preserve"> health and health systems’ performance</w:t>
      </w:r>
      <w:r w:rsidRPr="005B54E3">
        <w:rPr>
          <w:lang w:val="en-GB"/>
        </w:rPr>
        <w:t xml:space="preserve"> problems but also key elements of best practice in how to address them.</w:t>
      </w:r>
      <w:r w:rsidR="005065F9">
        <w:rPr>
          <w:lang w:val="en-GB"/>
        </w:rPr>
        <w:t xml:space="preserve"> The HIREP-ERIC can help to bring together knowledge about what health </w:t>
      </w:r>
      <w:r w:rsidR="00693B1A">
        <w:rPr>
          <w:lang w:val="en-GB"/>
        </w:rPr>
        <w:t>policies and interventions work</w:t>
      </w:r>
      <w:r w:rsidR="005065F9">
        <w:rPr>
          <w:lang w:val="en-GB"/>
        </w:rPr>
        <w:t xml:space="preserve"> in order to</w:t>
      </w:r>
      <w:r w:rsidR="00693B1A">
        <w:rPr>
          <w:lang w:val="en-GB"/>
        </w:rPr>
        <w:t xml:space="preserve"> support future decision-making</w:t>
      </w:r>
      <w:r w:rsidR="005065F9">
        <w:rPr>
          <w:lang w:val="en-GB"/>
        </w:rPr>
        <w:t xml:space="preserve"> at </w:t>
      </w:r>
      <w:r w:rsidR="009979B5">
        <w:rPr>
          <w:lang w:val="en-GB"/>
        </w:rPr>
        <w:t>international</w:t>
      </w:r>
      <w:r w:rsidR="005065F9">
        <w:rPr>
          <w:lang w:val="en-GB"/>
        </w:rPr>
        <w:t>, national</w:t>
      </w:r>
      <w:r w:rsidR="009979B5">
        <w:rPr>
          <w:lang w:val="en-GB"/>
        </w:rPr>
        <w:t>,</w:t>
      </w:r>
      <w:r w:rsidR="005065F9">
        <w:rPr>
          <w:lang w:val="en-GB"/>
        </w:rPr>
        <w:t xml:space="preserve"> regional and local level.</w:t>
      </w:r>
    </w:p>
    <w:p w14:paraId="651CAA29" w14:textId="77777777" w:rsidR="00B018B1" w:rsidRDefault="00B018B1" w:rsidP="00B018B1">
      <w:pPr>
        <w:spacing w:after="0"/>
        <w:contextualSpacing/>
        <w:rPr>
          <w:lang w:val="en-GB"/>
        </w:rPr>
      </w:pPr>
    </w:p>
    <w:p w14:paraId="17B8DD5C" w14:textId="77777777" w:rsidR="001A3AE6" w:rsidRDefault="001A3AE6" w:rsidP="00DB38A6">
      <w:pPr>
        <w:spacing w:after="240"/>
        <w:rPr>
          <w:lang w:val="en-GB"/>
        </w:rPr>
      </w:pPr>
      <w:r>
        <w:rPr>
          <w:lang w:val="en-GB"/>
        </w:rPr>
        <w:t>Services:</w:t>
      </w:r>
    </w:p>
    <w:p w14:paraId="55522940" w14:textId="77777777" w:rsidR="00101521" w:rsidRPr="00101521" w:rsidRDefault="00101521" w:rsidP="00101521">
      <w:pPr>
        <w:pStyle w:val="ListParagraph"/>
        <w:numPr>
          <w:ilvl w:val="0"/>
          <w:numId w:val="15"/>
        </w:numPr>
        <w:rPr>
          <w:lang w:val="en-GB"/>
        </w:rPr>
      </w:pPr>
      <w:r w:rsidRPr="00101521">
        <w:rPr>
          <w:lang w:val="en-GB"/>
        </w:rPr>
        <w:t xml:space="preserve">Maintaining the ECHI </w:t>
      </w:r>
    </w:p>
    <w:p w14:paraId="4C056201" w14:textId="77777777" w:rsidR="00101521" w:rsidRPr="00101521" w:rsidRDefault="00101521" w:rsidP="0037313E">
      <w:pPr>
        <w:pStyle w:val="ListParagraph"/>
        <w:numPr>
          <w:ilvl w:val="1"/>
          <w:numId w:val="15"/>
        </w:numPr>
        <w:rPr>
          <w:lang w:val="en-GB"/>
        </w:rPr>
      </w:pPr>
      <w:r w:rsidRPr="00101521">
        <w:rPr>
          <w:lang w:val="en-GB"/>
        </w:rPr>
        <w:t>Relate indicators to decision making process at international organisations and reduce duplication within the European health information sphere</w:t>
      </w:r>
    </w:p>
    <w:p w14:paraId="2A10CC91" w14:textId="058D8D78" w:rsidR="00D87B20" w:rsidRDefault="00101521" w:rsidP="0037313E">
      <w:pPr>
        <w:pStyle w:val="ListParagraph"/>
        <w:numPr>
          <w:ilvl w:val="1"/>
          <w:numId w:val="15"/>
        </w:numPr>
        <w:rPr>
          <w:lang w:val="en-GB"/>
        </w:rPr>
      </w:pPr>
      <w:r w:rsidRPr="00101521">
        <w:rPr>
          <w:lang w:val="en-GB"/>
        </w:rPr>
        <w:t>Have a forum that can evaluate, and, if necessary, update or improve the ECHI, according to requests, thereby agreeing on the indicators and standards thereof.</w:t>
      </w:r>
    </w:p>
    <w:p w14:paraId="2278E48D" w14:textId="77777777" w:rsidR="00101521" w:rsidRDefault="00101521" w:rsidP="00890E38">
      <w:pPr>
        <w:pStyle w:val="ListParagraph"/>
        <w:numPr>
          <w:ilvl w:val="0"/>
          <w:numId w:val="15"/>
        </w:numPr>
        <w:rPr>
          <w:lang w:val="en-GB"/>
        </w:rPr>
      </w:pPr>
      <w:r>
        <w:rPr>
          <w:lang w:val="en-GB"/>
        </w:rPr>
        <w:t>Provide support</w:t>
      </w:r>
    </w:p>
    <w:p w14:paraId="6184AEB7" w14:textId="12E4B24B" w:rsidR="00D87B20" w:rsidRDefault="00D87B20" w:rsidP="0037313E">
      <w:pPr>
        <w:pStyle w:val="ListParagraph"/>
        <w:numPr>
          <w:ilvl w:val="1"/>
          <w:numId w:val="15"/>
        </w:numPr>
        <w:rPr>
          <w:lang w:val="en-GB"/>
        </w:rPr>
      </w:pPr>
      <w:r>
        <w:rPr>
          <w:lang w:val="en-GB"/>
        </w:rPr>
        <w:t>Provide technical and expert advice for members to optimise their health information systems;</w:t>
      </w:r>
    </w:p>
    <w:p w14:paraId="0EEE21B2" w14:textId="086F08DD" w:rsidR="00DE0CEF" w:rsidRPr="0037313E" w:rsidRDefault="00101521" w:rsidP="0037313E">
      <w:pPr>
        <w:pStyle w:val="ListParagraph"/>
        <w:numPr>
          <w:ilvl w:val="1"/>
          <w:numId w:val="15"/>
        </w:numPr>
        <w:rPr>
          <w:lang w:val="en-GB"/>
        </w:rPr>
      </w:pPr>
      <w:r w:rsidRPr="0037313E">
        <w:rPr>
          <w:lang w:val="en-GB"/>
        </w:rPr>
        <w:t>Provide assistance to national public health institutes;</w:t>
      </w:r>
    </w:p>
    <w:p w14:paraId="6A989C25" w14:textId="77777777" w:rsidR="00101521" w:rsidRDefault="00101521" w:rsidP="00890E38">
      <w:pPr>
        <w:pStyle w:val="ListParagraph"/>
        <w:numPr>
          <w:ilvl w:val="0"/>
          <w:numId w:val="15"/>
        </w:numPr>
        <w:rPr>
          <w:lang w:val="en-GB"/>
        </w:rPr>
      </w:pPr>
      <w:r>
        <w:rPr>
          <w:lang w:val="en-GB"/>
        </w:rPr>
        <w:t>Provide information on population health and health system performance</w:t>
      </w:r>
    </w:p>
    <w:p w14:paraId="4C644496" w14:textId="7057DF2D" w:rsidR="00101521" w:rsidRDefault="00101521" w:rsidP="0037313E">
      <w:pPr>
        <w:pStyle w:val="ListParagraph"/>
        <w:numPr>
          <w:ilvl w:val="1"/>
          <w:numId w:val="15"/>
        </w:numPr>
        <w:rPr>
          <w:lang w:val="en-GB"/>
        </w:rPr>
      </w:pPr>
      <w:r>
        <w:rPr>
          <w:lang w:val="en-GB"/>
        </w:rPr>
        <w:t>Provide detailed information on determinants of health, ill-health and threats</w:t>
      </w:r>
      <w:r w:rsidRPr="00101521">
        <w:t xml:space="preserve"> that are considered relevant to the overall health information landscape</w:t>
      </w:r>
      <w:r w:rsidRPr="00101521" w:rsidDel="00101521">
        <w:rPr>
          <w:lang w:val="en-GB"/>
        </w:rPr>
        <w:t xml:space="preserve"> </w:t>
      </w:r>
      <w:r>
        <w:rPr>
          <w:lang w:val="en-GB"/>
        </w:rPr>
        <w:t xml:space="preserve">; </w:t>
      </w:r>
    </w:p>
    <w:p w14:paraId="3DA803C3" w14:textId="77777777" w:rsidR="00101521" w:rsidRDefault="00101521" w:rsidP="0037313E">
      <w:pPr>
        <w:pStyle w:val="ListParagraph"/>
        <w:numPr>
          <w:ilvl w:val="1"/>
          <w:numId w:val="15"/>
        </w:numPr>
        <w:rPr>
          <w:lang w:val="en-GB"/>
        </w:rPr>
      </w:pPr>
      <w:r>
        <w:rPr>
          <w:lang w:val="en-GB"/>
        </w:rPr>
        <w:t>Provide better information on healthcare quality and outcomes;</w:t>
      </w:r>
    </w:p>
    <w:p w14:paraId="4D36AB23" w14:textId="6D41A3CD" w:rsidR="00D87B20" w:rsidRPr="0037313E" w:rsidRDefault="00101521" w:rsidP="0037313E">
      <w:pPr>
        <w:pStyle w:val="ListParagraph"/>
        <w:numPr>
          <w:ilvl w:val="1"/>
          <w:numId w:val="15"/>
        </w:numPr>
        <w:rPr>
          <w:lang w:val="en-GB"/>
        </w:rPr>
      </w:pPr>
      <w:r w:rsidRPr="0037313E">
        <w:rPr>
          <w:lang w:val="en-GB"/>
        </w:rPr>
        <w:t>Enable sustainable data collection, regular assessment and analysis.</w:t>
      </w:r>
      <w:r w:rsidR="0037313E">
        <w:rPr>
          <w:lang w:val="en-GB"/>
        </w:rPr>
        <w:tab/>
      </w:r>
    </w:p>
    <w:p w14:paraId="5BD5816E" w14:textId="77777777" w:rsidR="00DB38A6" w:rsidRPr="00DB38A6" w:rsidRDefault="00DB38A6" w:rsidP="00DB38A6">
      <w:pPr>
        <w:pStyle w:val="Heading3"/>
        <w:ind w:left="1170" w:hanging="540"/>
        <w:rPr>
          <w:lang w:val="en-GB"/>
        </w:rPr>
      </w:pPr>
      <w:bookmarkStart w:id="12" w:name="_Toc469063799"/>
      <w:bookmarkStart w:id="13" w:name="_GoBack"/>
      <w:bookmarkEnd w:id="13"/>
      <w:r>
        <w:rPr>
          <w:lang w:val="en-GB"/>
        </w:rPr>
        <w:t>Knowledge management</w:t>
      </w:r>
      <w:r w:rsidR="000A32E2">
        <w:rPr>
          <w:lang w:val="en-GB"/>
        </w:rPr>
        <w:t xml:space="preserve"> centre</w:t>
      </w:r>
      <w:bookmarkEnd w:id="12"/>
      <w:r w:rsidR="000A32E2">
        <w:rPr>
          <w:lang w:val="en-GB"/>
        </w:rPr>
        <w:t xml:space="preserve"> </w:t>
      </w:r>
    </w:p>
    <w:p w14:paraId="28D32E15" w14:textId="5814A3A3" w:rsidR="007D2F19" w:rsidRPr="004772F4" w:rsidRDefault="00DB38A6" w:rsidP="008407E3">
      <w:r w:rsidRPr="00DB38A6">
        <w:rPr>
          <w:lang w:val="en-GB"/>
        </w:rPr>
        <w:t xml:space="preserve">The HIREP-ERIC </w:t>
      </w:r>
      <w:r w:rsidR="00344B27">
        <w:rPr>
          <w:lang w:val="en-GB"/>
        </w:rPr>
        <w:t xml:space="preserve">will </w:t>
      </w:r>
      <w:r w:rsidRPr="00DB38A6">
        <w:rPr>
          <w:lang w:val="en-GB"/>
        </w:rPr>
        <w:t xml:space="preserve">facilitate and support the development and hosting of </w:t>
      </w:r>
      <w:r w:rsidR="00053682">
        <w:rPr>
          <w:lang w:val="en-GB"/>
        </w:rPr>
        <w:t xml:space="preserve">virtual and interoperable </w:t>
      </w:r>
      <w:r w:rsidRPr="00DB38A6">
        <w:rPr>
          <w:lang w:val="en-GB"/>
        </w:rPr>
        <w:t>repository platforms</w:t>
      </w:r>
      <w:r w:rsidR="004D564C">
        <w:rPr>
          <w:lang w:val="en-GB"/>
        </w:rPr>
        <w:t xml:space="preserve">. </w:t>
      </w:r>
      <w:r w:rsidR="00D05BE5">
        <w:rPr>
          <w:lang w:val="en-GB"/>
        </w:rPr>
        <w:t>It will provide</w:t>
      </w:r>
      <w:r w:rsidR="007D2F19">
        <w:rPr>
          <w:lang w:val="en-GB"/>
        </w:rPr>
        <w:t xml:space="preserve"> central coordination for </w:t>
      </w:r>
      <w:r w:rsidR="00CB15F4">
        <w:rPr>
          <w:lang w:val="en-GB"/>
        </w:rPr>
        <w:t>EU countries</w:t>
      </w:r>
      <w:r w:rsidR="007D2F19">
        <w:rPr>
          <w:lang w:val="en-GB"/>
        </w:rPr>
        <w:t xml:space="preserve"> to provide data and exploit economies of scale by facilitating the extension of existing data repositories where possible. The HIREP-ERIC </w:t>
      </w:r>
      <w:r w:rsidR="004D564C">
        <w:rPr>
          <w:lang w:val="en-GB"/>
        </w:rPr>
        <w:t xml:space="preserve">will provide </w:t>
      </w:r>
      <w:r w:rsidR="00686D45">
        <w:rPr>
          <w:lang w:val="en-GB"/>
        </w:rPr>
        <w:t xml:space="preserve">or promote the development of </w:t>
      </w:r>
      <w:r w:rsidR="004D564C">
        <w:rPr>
          <w:lang w:val="en-GB"/>
        </w:rPr>
        <w:t>repository platforms</w:t>
      </w:r>
      <w:r w:rsidR="00E818E5">
        <w:rPr>
          <w:lang w:val="en-GB"/>
        </w:rPr>
        <w:t xml:space="preserve"> for data and metadata</w:t>
      </w:r>
      <w:r w:rsidR="004D564C">
        <w:rPr>
          <w:lang w:val="en-GB"/>
        </w:rPr>
        <w:t xml:space="preserve"> that </w:t>
      </w:r>
      <w:r w:rsidR="008227B4">
        <w:rPr>
          <w:lang w:val="en-GB"/>
        </w:rPr>
        <w:t xml:space="preserve">are </w:t>
      </w:r>
      <w:r w:rsidR="004D564C">
        <w:rPr>
          <w:lang w:val="en-GB"/>
        </w:rPr>
        <w:t>not stored elsewhere</w:t>
      </w:r>
      <w:r w:rsidR="00C0250F">
        <w:rPr>
          <w:lang w:val="en-GB"/>
        </w:rPr>
        <w:t>, and facilitate data merging and linkage</w:t>
      </w:r>
      <w:r w:rsidR="004D564C">
        <w:rPr>
          <w:lang w:val="en-GB"/>
        </w:rPr>
        <w:t xml:space="preserve">. </w:t>
      </w:r>
      <w:r w:rsidR="00754837">
        <w:rPr>
          <w:lang w:val="en-GB"/>
        </w:rPr>
        <w:t>The HIREP-ERIC</w:t>
      </w:r>
      <w:r w:rsidR="00754837" w:rsidRPr="00754837">
        <w:rPr>
          <w:lang w:val="en-GB"/>
        </w:rPr>
        <w:t xml:space="preserve"> aims to mediate in hosting these data sets in a sustainable and highly accessible way, either under its own mandate or in collaboration with a dedicated European organisation. </w:t>
      </w:r>
    </w:p>
    <w:p w14:paraId="1D90B5AE" w14:textId="5C413570" w:rsidR="004274E2" w:rsidRDefault="003C3B53" w:rsidP="008407E3">
      <w:pPr>
        <w:rPr>
          <w:lang w:val="en-GB"/>
        </w:rPr>
      </w:pPr>
      <w:r w:rsidRPr="00D87086">
        <w:rPr>
          <w:lang w:val="en-GB"/>
        </w:rPr>
        <w:t xml:space="preserve">The </w:t>
      </w:r>
      <w:r>
        <w:rPr>
          <w:lang w:val="en-GB"/>
        </w:rPr>
        <w:t xml:space="preserve">HIREP-ERIC will </w:t>
      </w:r>
      <w:r w:rsidR="005C6E23">
        <w:rPr>
          <w:lang w:val="en-GB"/>
        </w:rPr>
        <w:t xml:space="preserve">also </w:t>
      </w:r>
      <w:r>
        <w:rPr>
          <w:lang w:val="en-GB"/>
        </w:rPr>
        <w:t>provide centralised documentation through repository platforms for tools and methods for</w:t>
      </w:r>
      <w:r w:rsidRPr="004D564C">
        <w:rPr>
          <w:lang w:val="en-GB"/>
        </w:rPr>
        <w:t xml:space="preserve"> data collection, quality assessment, analysis, </w:t>
      </w:r>
      <w:proofErr w:type="gramStart"/>
      <w:r w:rsidRPr="004D564C">
        <w:rPr>
          <w:lang w:val="en-GB"/>
        </w:rPr>
        <w:t>reporting</w:t>
      </w:r>
      <w:proofErr w:type="gramEnd"/>
      <w:r w:rsidRPr="004D564C">
        <w:rPr>
          <w:lang w:val="en-GB"/>
        </w:rPr>
        <w:t xml:space="preserve"> and knowledge translation</w:t>
      </w:r>
      <w:r>
        <w:rPr>
          <w:lang w:val="en-GB"/>
        </w:rPr>
        <w:t>.</w:t>
      </w:r>
      <w:r w:rsidR="00DE05EA">
        <w:rPr>
          <w:lang w:val="en-GB"/>
        </w:rPr>
        <w:t xml:space="preserve"> </w:t>
      </w:r>
      <w:r w:rsidR="00053682">
        <w:rPr>
          <w:lang w:val="en-GB"/>
        </w:rPr>
        <w:t xml:space="preserve">This is </w:t>
      </w:r>
      <w:r w:rsidR="00220EEE">
        <w:rPr>
          <w:lang w:val="en-GB"/>
        </w:rPr>
        <w:t xml:space="preserve">needed because </w:t>
      </w:r>
      <w:r w:rsidR="00053682" w:rsidRPr="009C7B08">
        <w:t>t</w:t>
      </w:r>
      <w:r w:rsidR="00DE05EA" w:rsidRPr="009C7B08">
        <w:t xml:space="preserve">he evidence supporting the validity of the </w:t>
      </w:r>
      <w:r w:rsidR="00DE05EA" w:rsidRPr="009C7B08">
        <w:lastRenderedPageBreak/>
        <w:t>data collected and of the information produced is not always complete and available.</w:t>
      </w:r>
      <w:r w:rsidRPr="009C7B08">
        <w:rPr>
          <w:lang w:val="en-GB"/>
        </w:rPr>
        <w:t xml:space="preserve"> </w:t>
      </w:r>
      <w:r>
        <w:rPr>
          <w:lang w:val="en-GB"/>
        </w:rPr>
        <w:t>Th</w:t>
      </w:r>
      <w:r w:rsidR="004772F4">
        <w:rPr>
          <w:lang w:val="en-GB"/>
        </w:rPr>
        <w:t>e repository platform</w:t>
      </w:r>
      <w:r>
        <w:rPr>
          <w:lang w:val="en-GB"/>
        </w:rPr>
        <w:t xml:space="preserve"> includes </w:t>
      </w:r>
      <w:r w:rsidR="000A32E2">
        <w:rPr>
          <w:lang w:val="en-GB"/>
        </w:rPr>
        <w:t>data collection protocols</w:t>
      </w:r>
      <w:r w:rsidR="00DB38A6" w:rsidRPr="00DB38A6">
        <w:rPr>
          <w:lang w:val="en-GB"/>
        </w:rPr>
        <w:t xml:space="preserve"> </w:t>
      </w:r>
      <w:r>
        <w:rPr>
          <w:lang w:val="en-GB"/>
        </w:rPr>
        <w:t>such as</w:t>
      </w:r>
      <w:r w:rsidR="00DB38A6" w:rsidRPr="00DB38A6">
        <w:rPr>
          <w:lang w:val="en-GB"/>
        </w:rPr>
        <w:t xml:space="preserve"> guidelines, education and handbooks for implementing surveys and developing and maintaining registries;</w:t>
      </w:r>
      <w:r>
        <w:rPr>
          <w:lang w:val="en-GB"/>
        </w:rPr>
        <w:t xml:space="preserve"> and </w:t>
      </w:r>
      <w:r w:rsidR="00DB38A6" w:rsidRPr="00DB38A6">
        <w:rPr>
          <w:lang w:val="en-GB"/>
        </w:rPr>
        <w:t xml:space="preserve">tools and methods </w:t>
      </w:r>
      <w:r>
        <w:rPr>
          <w:lang w:val="en-GB"/>
        </w:rPr>
        <w:t>for pre- and post-harmonisation.</w:t>
      </w:r>
      <w:r w:rsidR="008407E3" w:rsidRPr="008407E3">
        <w:rPr>
          <w:lang w:val="en-GB"/>
        </w:rPr>
        <w:t xml:space="preserve"> </w:t>
      </w:r>
      <w:r w:rsidR="004772F4">
        <w:rPr>
          <w:lang w:val="en-GB"/>
        </w:rPr>
        <w:t xml:space="preserve">Since the HIREP-ERIC will also play a role in knowledge translation as described in the following section, the repository platform will also include policy briefs e.g. the policy briefs prepared by the </w:t>
      </w:r>
      <w:r w:rsidR="004772F4" w:rsidRPr="004772F4">
        <w:rPr>
          <w:lang w:val="en-GB"/>
        </w:rPr>
        <w:t>European Observatory on Health Systems and Policies</w:t>
      </w:r>
      <w:r w:rsidR="00973506">
        <w:rPr>
          <w:lang w:val="en-GB"/>
        </w:rPr>
        <w:t>.</w:t>
      </w:r>
    </w:p>
    <w:p w14:paraId="489B9C4B" w14:textId="71EB8E26" w:rsidR="008407E3" w:rsidRPr="008407E3" w:rsidRDefault="009E6406" w:rsidP="008407E3">
      <w:pPr>
        <w:rPr>
          <w:iCs/>
          <w:lang w:val="en-GB"/>
        </w:rPr>
      </w:pPr>
      <w:r>
        <w:rPr>
          <w:lang w:val="en-GB"/>
        </w:rPr>
        <w:t>Setting up repository platforms</w:t>
      </w:r>
      <w:r w:rsidR="008407E3">
        <w:rPr>
          <w:lang w:val="en-GB"/>
        </w:rPr>
        <w:t xml:space="preserve"> also includes the d</w:t>
      </w:r>
      <w:r w:rsidR="008407E3" w:rsidRPr="008407E3">
        <w:rPr>
          <w:iCs/>
          <w:lang w:val="en-GB"/>
        </w:rPr>
        <w:t>evelopment of state-of-the-art distributed analytical platform</w:t>
      </w:r>
      <w:r w:rsidR="007F2FE8">
        <w:rPr>
          <w:iCs/>
          <w:lang w:val="en-GB"/>
        </w:rPr>
        <w:t>s</w:t>
      </w:r>
      <w:r w:rsidR="008407E3" w:rsidRPr="008407E3">
        <w:rPr>
          <w:iCs/>
          <w:lang w:val="en-GB"/>
        </w:rPr>
        <w:t xml:space="preserve"> </w:t>
      </w:r>
      <w:r w:rsidR="002608A6">
        <w:rPr>
          <w:iCs/>
          <w:lang w:val="en-GB"/>
        </w:rPr>
        <w:t>with</w:t>
      </w:r>
      <w:r w:rsidR="007F2FE8">
        <w:rPr>
          <w:iCs/>
          <w:lang w:val="en-GB"/>
        </w:rPr>
        <w:t xml:space="preserve"> adequate protection of personal data, </w:t>
      </w:r>
      <w:r w:rsidR="008407E3" w:rsidRPr="008407E3">
        <w:rPr>
          <w:iCs/>
          <w:lang w:val="en-GB"/>
        </w:rPr>
        <w:t xml:space="preserve">and </w:t>
      </w:r>
      <w:r w:rsidR="007F2FE8">
        <w:rPr>
          <w:iCs/>
          <w:lang w:val="en-GB"/>
        </w:rPr>
        <w:t xml:space="preserve">of </w:t>
      </w:r>
      <w:r w:rsidR="008407E3" w:rsidRPr="008407E3">
        <w:rPr>
          <w:iCs/>
          <w:lang w:val="en-GB"/>
        </w:rPr>
        <w:t xml:space="preserve">tools </w:t>
      </w:r>
      <w:r w:rsidR="002608A6">
        <w:rPr>
          <w:iCs/>
          <w:lang w:val="en-GB"/>
        </w:rPr>
        <w:t>and procedures ensuring</w:t>
      </w:r>
      <w:r w:rsidR="002608A6" w:rsidRPr="008407E3">
        <w:rPr>
          <w:iCs/>
          <w:lang w:val="en-GB"/>
        </w:rPr>
        <w:t xml:space="preserve"> </w:t>
      </w:r>
      <w:r w:rsidR="008407E3" w:rsidRPr="008407E3">
        <w:rPr>
          <w:iCs/>
          <w:lang w:val="en-GB"/>
        </w:rPr>
        <w:t xml:space="preserve">data protection and </w:t>
      </w:r>
      <w:r w:rsidR="007F2FE8">
        <w:rPr>
          <w:iCs/>
          <w:lang w:val="en-GB"/>
        </w:rPr>
        <w:t xml:space="preserve">respect of </w:t>
      </w:r>
      <w:r w:rsidR="008407E3" w:rsidRPr="008407E3">
        <w:rPr>
          <w:iCs/>
          <w:lang w:val="en-GB"/>
        </w:rPr>
        <w:t>privacy issues</w:t>
      </w:r>
      <w:r w:rsidR="002608A6">
        <w:rPr>
          <w:iCs/>
          <w:lang w:val="en-GB"/>
        </w:rPr>
        <w:t>,</w:t>
      </w:r>
      <w:r w:rsidR="008407E3" w:rsidRPr="008407E3">
        <w:rPr>
          <w:iCs/>
          <w:lang w:val="en-GB"/>
        </w:rPr>
        <w:t xml:space="preserve"> </w:t>
      </w:r>
      <w:r w:rsidR="002608A6">
        <w:rPr>
          <w:iCs/>
          <w:lang w:val="en-GB"/>
        </w:rPr>
        <w:t>addressing</w:t>
      </w:r>
      <w:r w:rsidR="002608A6" w:rsidRPr="008407E3">
        <w:rPr>
          <w:iCs/>
          <w:lang w:val="en-GB"/>
        </w:rPr>
        <w:t xml:space="preserve"> </w:t>
      </w:r>
      <w:r w:rsidR="008407E3" w:rsidRPr="008407E3">
        <w:rPr>
          <w:iCs/>
          <w:lang w:val="en-GB"/>
        </w:rPr>
        <w:t xml:space="preserve">both ethical and legal </w:t>
      </w:r>
      <w:r w:rsidR="002608A6">
        <w:rPr>
          <w:iCs/>
          <w:lang w:val="en-GB"/>
        </w:rPr>
        <w:t>issues</w:t>
      </w:r>
      <w:r w:rsidR="008407E3" w:rsidRPr="008407E3">
        <w:rPr>
          <w:iCs/>
          <w:lang w:val="en-GB"/>
        </w:rPr>
        <w:t>.</w:t>
      </w:r>
    </w:p>
    <w:p w14:paraId="14C7B9B9" w14:textId="77777777" w:rsidR="005B54E3" w:rsidRDefault="003C3B53" w:rsidP="004D564C">
      <w:pPr>
        <w:spacing w:after="240"/>
        <w:contextualSpacing/>
        <w:rPr>
          <w:lang w:val="en-GB"/>
        </w:rPr>
      </w:pPr>
      <w:r>
        <w:rPr>
          <w:lang w:val="en-GB"/>
        </w:rPr>
        <w:t xml:space="preserve">In case </w:t>
      </w:r>
      <w:r w:rsidR="008407E3">
        <w:rPr>
          <w:lang w:val="en-GB"/>
        </w:rPr>
        <w:t>the data is stored elsewhere, the HIREP-ERIC</w:t>
      </w:r>
      <w:r>
        <w:rPr>
          <w:lang w:val="en-GB"/>
        </w:rPr>
        <w:t xml:space="preserve"> will guide users to available and comparable data. </w:t>
      </w:r>
      <w:r w:rsidRPr="003C3B53">
        <w:rPr>
          <w:lang w:val="en-GB"/>
        </w:rPr>
        <w:t xml:space="preserve">As health and healthcare cover an enormous subject area, the HIREP-ERIC activities will include looking to create 'meta-access' </w:t>
      </w:r>
      <w:r w:rsidR="00CC681B">
        <w:rPr>
          <w:lang w:val="en-GB"/>
        </w:rPr>
        <w:t xml:space="preserve">and meta-structures </w:t>
      </w:r>
      <w:r w:rsidRPr="003C3B53">
        <w:rPr>
          <w:lang w:val="en-GB"/>
        </w:rPr>
        <w:t xml:space="preserve">to data sources suited for international comparisons, aiming at knowing where national and international data sources and repositories are located and how to access and use them. </w:t>
      </w:r>
      <w:r w:rsidR="007D2F19">
        <w:rPr>
          <w:lang w:val="en-GB"/>
        </w:rPr>
        <w:t>This will also allow for better access to data for research purposes.</w:t>
      </w:r>
    </w:p>
    <w:p w14:paraId="4D2CA4D4" w14:textId="77777777" w:rsidR="005B54E3" w:rsidRDefault="005B54E3" w:rsidP="004D564C">
      <w:pPr>
        <w:spacing w:after="240"/>
        <w:contextualSpacing/>
        <w:rPr>
          <w:lang w:val="en-GB"/>
        </w:rPr>
      </w:pPr>
    </w:p>
    <w:p w14:paraId="33955587" w14:textId="1CCCAC4E" w:rsidR="00F02E9C" w:rsidRDefault="00B018B1" w:rsidP="005F7646">
      <w:pPr>
        <w:spacing w:after="240"/>
        <w:contextualSpacing/>
        <w:rPr>
          <w:lang w:val="en-GB"/>
        </w:rPr>
      </w:pPr>
      <w:r>
        <w:rPr>
          <w:lang w:val="en-GB"/>
        </w:rPr>
        <w:t>The HIREP-ERIC will use the gathered information to s</w:t>
      </w:r>
      <w:r w:rsidR="005B54E3" w:rsidRPr="005B54E3">
        <w:rPr>
          <w:lang w:val="en-GB"/>
        </w:rPr>
        <w:t>upport methodology development</w:t>
      </w:r>
      <w:r w:rsidR="00AD4696">
        <w:rPr>
          <w:lang w:val="en-GB"/>
        </w:rPr>
        <w:t>s</w:t>
      </w:r>
      <w:r w:rsidR="006B0589">
        <w:rPr>
          <w:lang w:val="en-GB"/>
        </w:rPr>
        <w:t xml:space="preserve"> based on expert reviews of existing tools and procedures and on specific research,</w:t>
      </w:r>
      <w:r w:rsidR="005B54E3" w:rsidRPr="005B54E3">
        <w:rPr>
          <w:lang w:val="en-GB"/>
        </w:rPr>
        <w:t xml:space="preserve"> including the development of new and more efficient methods and tools for data collection, quality assessment, use, analysis and reporting as well as knowledge translation.</w:t>
      </w:r>
      <w:r w:rsidR="00F02E9C">
        <w:rPr>
          <w:lang w:val="en-GB"/>
        </w:rPr>
        <w:t xml:space="preserve"> </w:t>
      </w:r>
      <w:r w:rsidR="005F7646">
        <w:rPr>
          <w:lang w:val="en-GB"/>
        </w:rPr>
        <w:t xml:space="preserve">More specifically, </w:t>
      </w:r>
      <w:r w:rsidR="00F02E9C">
        <w:t>meth</w:t>
      </w:r>
      <w:r w:rsidR="005F7646">
        <w:t xml:space="preserve">ods </w:t>
      </w:r>
      <w:r w:rsidR="00F02E9C">
        <w:t>to improve the qual</w:t>
      </w:r>
      <w:r w:rsidR="005F7646">
        <w:t>ity of the information produced</w:t>
      </w:r>
      <w:r w:rsidR="00F02E9C">
        <w:t>; validation of these methods can be performed through expert reviews or through specific validation studies; the development of new research methodology might come in with respect to the analysis of large data sets</w:t>
      </w:r>
      <w:r w:rsidR="00101521">
        <w:t xml:space="preserve">; and the shift in the analytic paradigm from descriptive analytics to prescriptive </w:t>
      </w:r>
      <w:r w:rsidR="0033336A">
        <w:t>analytics.</w:t>
      </w:r>
    </w:p>
    <w:p w14:paraId="055C11B0" w14:textId="77777777" w:rsidR="008E3E4C" w:rsidRDefault="008E3E4C" w:rsidP="004D564C">
      <w:pPr>
        <w:spacing w:after="240"/>
        <w:contextualSpacing/>
        <w:rPr>
          <w:lang w:val="en-GB"/>
        </w:rPr>
      </w:pPr>
    </w:p>
    <w:p w14:paraId="381F4489" w14:textId="77777777" w:rsidR="008E3E4C" w:rsidRDefault="008E3E4C" w:rsidP="004D564C">
      <w:pPr>
        <w:spacing w:after="240"/>
        <w:contextualSpacing/>
        <w:rPr>
          <w:lang w:val="en-GB"/>
        </w:rPr>
      </w:pPr>
      <w:r>
        <w:rPr>
          <w:lang w:val="en-GB"/>
        </w:rPr>
        <w:t>Services:</w:t>
      </w:r>
    </w:p>
    <w:p w14:paraId="22950D12" w14:textId="18776DF5" w:rsidR="00864D60" w:rsidRPr="008E3E4C" w:rsidRDefault="00864D60" w:rsidP="00890E38">
      <w:pPr>
        <w:pStyle w:val="ListParagraph"/>
        <w:numPr>
          <w:ilvl w:val="0"/>
          <w:numId w:val="17"/>
        </w:numPr>
        <w:spacing w:after="240"/>
        <w:contextualSpacing/>
        <w:rPr>
          <w:lang w:val="en-GB"/>
        </w:rPr>
      </w:pPr>
      <w:r>
        <w:rPr>
          <w:lang w:val="en-GB"/>
        </w:rPr>
        <w:t xml:space="preserve">Help </w:t>
      </w:r>
      <w:r w:rsidRPr="00864D60">
        <w:rPr>
          <w:lang w:val="en-GB"/>
        </w:rPr>
        <w:t>researchers</w:t>
      </w:r>
      <w:r w:rsidR="003A6FD0">
        <w:rPr>
          <w:lang w:val="en-GB"/>
        </w:rPr>
        <w:t xml:space="preserve"> and</w:t>
      </w:r>
      <w:r>
        <w:rPr>
          <w:lang w:val="en-GB"/>
        </w:rPr>
        <w:t xml:space="preserve"> institutions</w:t>
      </w:r>
      <w:r w:rsidRPr="00864D60">
        <w:rPr>
          <w:lang w:val="en-GB"/>
        </w:rPr>
        <w:t xml:space="preserve"> </w:t>
      </w:r>
      <w:r w:rsidR="008D07AF">
        <w:rPr>
          <w:lang w:val="en-GB"/>
        </w:rPr>
        <w:t xml:space="preserve">in charge of health information </w:t>
      </w:r>
      <w:r w:rsidRPr="00864D60">
        <w:rPr>
          <w:lang w:val="en-GB"/>
        </w:rPr>
        <w:t xml:space="preserve">in </w:t>
      </w:r>
      <w:r w:rsidR="00B01FA8">
        <w:rPr>
          <w:lang w:val="en-GB"/>
        </w:rPr>
        <w:t xml:space="preserve">finding and </w:t>
      </w:r>
      <w:r w:rsidRPr="00864D60">
        <w:rPr>
          <w:lang w:val="en-GB"/>
        </w:rPr>
        <w:t>using specific data sets and metadata, as well as tools and guidelines.</w:t>
      </w:r>
    </w:p>
    <w:p w14:paraId="4B232216" w14:textId="7B7F446A" w:rsidR="008E3E4C" w:rsidRDefault="008D07AF" w:rsidP="00890E38">
      <w:pPr>
        <w:pStyle w:val="ListParagraph"/>
        <w:numPr>
          <w:ilvl w:val="0"/>
          <w:numId w:val="17"/>
        </w:numPr>
        <w:spacing w:after="240"/>
        <w:contextualSpacing/>
        <w:rPr>
          <w:lang w:val="en-GB"/>
        </w:rPr>
      </w:pPr>
      <w:r>
        <w:rPr>
          <w:lang w:val="en-GB"/>
        </w:rPr>
        <w:t>Facilitate</w:t>
      </w:r>
      <w:r w:rsidR="00054E78">
        <w:rPr>
          <w:lang w:val="en-GB"/>
        </w:rPr>
        <w:t xml:space="preserve"> </w:t>
      </w:r>
      <w:r w:rsidR="00D602DF">
        <w:rPr>
          <w:lang w:val="en-GB"/>
        </w:rPr>
        <w:t xml:space="preserve">interoperable </w:t>
      </w:r>
      <w:r w:rsidR="008E3E4C">
        <w:rPr>
          <w:lang w:val="en-GB"/>
        </w:rPr>
        <w:t>access to relevant information</w:t>
      </w:r>
      <w:r w:rsidR="005B54E3">
        <w:rPr>
          <w:lang w:val="en-GB"/>
        </w:rPr>
        <w:t>, data and meta-data on repository platforms hosted by the HIREP-ERIC or elsewhere</w:t>
      </w:r>
      <w:r w:rsidR="008E3E4C">
        <w:rPr>
          <w:lang w:val="en-GB"/>
        </w:rPr>
        <w:t>;</w:t>
      </w:r>
    </w:p>
    <w:p w14:paraId="10D761E4" w14:textId="77777777" w:rsidR="00DE0CEF" w:rsidRDefault="00DE0CEF" w:rsidP="00DE0CEF">
      <w:pPr>
        <w:pStyle w:val="ListParagraph"/>
        <w:numPr>
          <w:ilvl w:val="0"/>
          <w:numId w:val="17"/>
        </w:numPr>
        <w:rPr>
          <w:lang w:val="en-GB"/>
        </w:rPr>
      </w:pPr>
      <w:r>
        <w:rPr>
          <w:lang w:val="en-GB"/>
        </w:rPr>
        <w:t>Set-up a platform for</w:t>
      </w:r>
      <w:r w:rsidRPr="001A3AE6">
        <w:rPr>
          <w:lang w:val="en-GB"/>
        </w:rPr>
        <w:t xml:space="preserve"> comparable, standardised and accessible data and indicators</w:t>
      </w:r>
      <w:r>
        <w:rPr>
          <w:lang w:val="en-GB"/>
        </w:rPr>
        <w:t>, including pre- and post-harmonisation methods;</w:t>
      </w:r>
    </w:p>
    <w:p w14:paraId="1DDF88D3" w14:textId="73FD85BD" w:rsidR="00054E78" w:rsidRDefault="00054E78" w:rsidP="00890E38">
      <w:pPr>
        <w:pStyle w:val="ListParagraph"/>
        <w:numPr>
          <w:ilvl w:val="0"/>
          <w:numId w:val="17"/>
        </w:numPr>
        <w:spacing w:after="240"/>
        <w:contextualSpacing/>
        <w:rPr>
          <w:lang w:val="en-GB"/>
        </w:rPr>
      </w:pPr>
      <w:r>
        <w:rPr>
          <w:lang w:val="en-GB"/>
        </w:rPr>
        <w:t xml:space="preserve">Guide users to </w:t>
      </w:r>
      <w:r w:rsidR="008D07AF">
        <w:rPr>
          <w:lang w:val="en-GB"/>
        </w:rPr>
        <w:t xml:space="preserve">locate and access required </w:t>
      </w:r>
      <w:r>
        <w:rPr>
          <w:lang w:val="en-GB"/>
        </w:rPr>
        <w:t>information;</w:t>
      </w:r>
    </w:p>
    <w:p w14:paraId="2390D089" w14:textId="77777777" w:rsidR="008E3E4C" w:rsidRDefault="008E3E4C" w:rsidP="00890E38">
      <w:pPr>
        <w:pStyle w:val="ListParagraph"/>
        <w:numPr>
          <w:ilvl w:val="0"/>
          <w:numId w:val="17"/>
        </w:numPr>
        <w:spacing w:after="240"/>
        <w:contextualSpacing/>
        <w:rPr>
          <w:lang w:val="en-GB"/>
        </w:rPr>
      </w:pPr>
      <w:r>
        <w:rPr>
          <w:lang w:val="en-GB"/>
        </w:rPr>
        <w:t>Provide a pool of existing good practices</w:t>
      </w:r>
      <w:r w:rsidR="005B54E3">
        <w:rPr>
          <w:lang w:val="en-GB"/>
        </w:rPr>
        <w:t>, methods and tools</w:t>
      </w:r>
      <w:r>
        <w:rPr>
          <w:lang w:val="en-GB"/>
        </w:rPr>
        <w:t>;</w:t>
      </w:r>
      <w:r w:rsidR="00B01FA8">
        <w:rPr>
          <w:lang w:val="en-GB"/>
        </w:rPr>
        <w:t xml:space="preserve"> </w:t>
      </w:r>
    </w:p>
    <w:p w14:paraId="6BBDBB17" w14:textId="77777777" w:rsidR="00864D60" w:rsidRDefault="006755E9" w:rsidP="00890E38">
      <w:pPr>
        <w:pStyle w:val="ListParagraph"/>
        <w:numPr>
          <w:ilvl w:val="0"/>
          <w:numId w:val="17"/>
        </w:numPr>
        <w:spacing w:after="240"/>
        <w:contextualSpacing/>
        <w:rPr>
          <w:lang w:val="en-GB"/>
        </w:rPr>
      </w:pPr>
      <w:r>
        <w:rPr>
          <w:lang w:val="en-GB"/>
        </w:rPr>
        <w:t>Provide guidance on</w:t>
      </w:r>
      <w:r w:rsidR="005B54E3">
        <w:rPr>
          <w:lang w:val="en-GB"/>
        </w:rPr>
        <w:t xml:space="preserve"> dat</w:t>
      </w:r>
      <w:r w:rsidR="00AB2118">
        <w:rPr>
          <w:lang w:val="en-GB"/>
        </w:rPr>
        <w:t>a protection and privacy issues;</w:t>
      </w:r>
      <w:r w:rsidR="00AB2118" w:rsidRPr="00AB2118">
        <w:rPr>
          <w:lang w:val="en-GB"/>
        </w:rPr>
        <w:t xml:space="preserve"> </w:t>
      </w:r>
      <w:r w:rsidR="00AB2118">
        <w:rPr>
          <w:lang w:val="en-GB"/>
        </w:rPr>
        <w:t>and</w:t>
      </w:r>
    </w:p>
    <w:p w14:paraId="68BF52DF" w14:textId="70806DF7" w:rsidR="00AB2118" w:rsidRPr="00B01FA8" w:rsidRDefault="00AB2118" w:rsidP="00890E38">
      <w:pPr>
        <w:pStyle w:val="ListParagraph"/>
        <w:numPr>
          <w:ilvl w:val="0"/>
          <w:numId w:val="17"/>
        </w:numPr>
        <w:spacing w:after="240"/>
        <w:contextualSpacing/>
        <w:rPr>
          <w:lang w:val="en-GB"/>
        </w:rPr>
      </w:pPr>
      <w:r>
        <w:rPr>
          <w:lang w:val="en-GB"/>
        </w:rPr>
        <w:t>Support methodology development</w:t>
      </w:r>
      <w:r w:rsidR="006B0589">
        <w:rPr>
          <w:lang w:val="en-GB"/>
        </w:rPr>
        <w:t>s based on expert reviews of existing tools and procedures and on specific research when appropriate</w:t>
      </w:r>
      <w:r>
        <w:rPr>
          <w:lang w:val="en-GB"/>
        </w:rPr>
        <w:t>.</w:t>
      </w:r>
    </w:p>
    <w:p w14:paraId="0EDB160C" w14:textId="134802D4" w:rsidR="00172EF0" w:rsidRDefault="00172EF0" w:rsidP="00172EF0">
      <w:pPr>
        <w:pStyle w:val="Heading3"/>
        <w:ind w:left="1170" w:hanging="540"/>
        <w:rPr>
          <w:lang w:val="en-GB"/>
        </w:rPr>
      </w:pPr>
      <w:bookmarkStart w:id="14" w:name="_Toc469063800"/>
      <w:r>
        <w:rPr>
          <w:lang w:val="en-GB"/>
        </w:rPr>
        <w:t>Knowledge exchange</w:t>
      </w:r>
      <w:r w:rsidR="003B49FC">
        <w:rPr>
          <w:lang w:val="en-GB"/>
        </w:rPr>
        <w:t xml:space="preserve"> and transfer</w:t>
      </w:r>
      <w:r w:rsidR="00B12324">
        <w:rPr>
          <w:lang w:val="en-GB"/>
        </w:rPr>
        <w:t xml:space="preserve"> for policy and decision</w:t>
      </w:r>
      <w:r w:rsidR="00F55081">
        <w:rPr>
          <w:lang w:val="en-GB"/>
        </w:rPr>
        <w:t>-</w:t>
      </w:r>
      <w:r w:rsidR="00B12324">
        <w:rPr>
          <w:lang w:val="en-GB"/>
        </w:rPr>
        <w:t>making,</w:t>
      </w:r>
      <w:bookmarkEnd w:id="14"/>
    </w:p>
    <w:p w14:paraId="3EDF65DE" w14:textId="3C8DB40E" w:rsidR="00DC5C06" w:rsidRDefault="00DC5C06" w:rsidP="00EE33B6">
      <w:pPr>
        <w:spacing w:before="240" w:after="240"/>
        <w:rPr>
          <w:lang w:val="en-GB"/>
        </w:rPr>
      </w:pPr>
      <w:r>
        <w:rPr>
          <w:lang w:val="en-GB"/>
        </w:rPr>
        <w:t>Knowledge sharing and dissemination activities will include the p</w:t>
      </w:r>
      <w:r w:rsidRPr="006755E9">
        <w:rPr>
          <w:lang w:val="en-GB"/>
        </w:rPr>
        <w:t>ublication of newsletters, scientific papers and organisation of meetings and workshops as well as expert exchanges</w:t>
      </w:r>
      <w:r>
        <w:rPr>
          <w:lang w:val="en-GB"/>
        </w:rPr>
        <w:t xml:space="preserve">, </w:t>
      </w:r>
      <w:r>
        <w:rPr>
          <w:lang w:val="en-GB"/>
        </w:rPr>
        <w:lastRenderedPageBreak/>
        <w:t>the strengthening of networks and capacity building</w:t>
      </w:r>
      <w:r w:rsidRPr="006755E9">
        <w:rPr>
          <w:lang w:val="en-GB"/>
        </w:rPr>
        <w:t>.</w:t>
      </w:r>
      <w:r>
        <w:rPr>
          <w:lang w:val="en-GB"/>
        </w:rPr>
        <w:t xml:space="preserve"> The HIREP-ERIC will strengthen </w:t>
      </w:r>
      <w:r w:rsidRPr="00E92861">
        <w:rPr>
          <w:lang w:val="en-GB"/>
        </w:rPr>
        <w:t xml:space="preserve">European </w:t>
      </w:r>
      <w:r>
        <w:rPr>
          <w:lang w:val="en-GB"/>
        </w:rPr>
        <w:t xml:space="preserve">health information </w:t>
      </w:r>
      <w:r w:rsidRPr="00E92861">
        <w:rPr>
          <w:lang w:val="en-GB"/>
        </w:rPr>
        <w:t>networks towards more sustainable data collection and regular assessment and analysis.</w:t>
      </w:r>
      <w:r>
        <w:rPr>
          <w:lang w:val="en-GB"/>
        </w:rPr>
        <w:t xml:space="preserve"> C</w:t>
      </w:r>
      <w:r w:rsidRPr="00172EF0">
        <w:rPr>
          <w:lang w:val="en-GB"/>
        </w:rPr>
        <w:t>apacity building activities</w:t>
      </w:r>
      <w:r>
        <w:rPr>
          <w:lang w:val="en-GB"/>
        </w:rPr>
        <w:t xml:space="preserve"> will be organised</w:t>
      </w:r>
      <w:r w:rsidR="00CB15F4">
        <w:rPr>
          <w:lang w:val="en-GB"/>
        </w:rPr>
        <w:t xml:space="preserve"> in the EU countries</w:t>
      </w:r>
      <w:r w:rsidR="00EE33B6">
        <w:rPr>
          <w:lang w:val="en-GB"/>
        </w:rPr>
        <w:t xml:space="preserve">. A </w:t>
      </w:r>
      <w:r w:rsidR="009C7B08">
        <w:rPr>
          <w:lang w:val="en-GB"/>
        </w:rPr>
        <w:t xml:space="preserve">yearlong </w:t>
      </w:r>
      <w:r w:rsidR="00EE33B6">
        <w:rPr>
          <w:lang w:val="en-GB"/>
        </w:rPr>
        <w:t>training program will be set-up in health information</w:t>
      </w:r>
      <w:r w:rsidR="0033336A">
        <w:rPr>
          <w:lang w:val="en-GB"/>
        </w:rPr>
        <w:t xml:space="preserve"> e.g.</w:t>
      </w:r>
      <w:r w:rsidR="00EE33B6">
        <w:rPr>
          <w:lang w:val="en-GB"/>
        </w:rPr>
        <w:t xml:space="preserve"> similarly to the </w:t>
      </w:r>
      <w:r w:rsidR="00EE33B6" w:rsidRPr="00EE33B6">
        <w:rPr>
          <w:lang w:val="en-GB"/>
        </w:rPr>
        <w:t>European Programme for Intervention Epidemiology Training (EPIET)</w:t>
      </w:r>
      <w:r w:rsidR="00EE33B6">
        <w:rPr>
          <w:lang w:val="en-GB"/>
        </w:rPr>
        <w:t xml:space="preserve"> program. This programme will create a cohort and link people that work in the same methodological w</w:t>
      </w:r>
      <w:r w:rsidR="00973506">
        <w:rPr>
          <w:lang w:val="en-GB"/>
        </w:rPr>
        <w:t>a</w:t>
      </w:r>
      <w:r w:rsidR="00EE33B6">
        <w:rPr>
          <w:lang w:val="en-GB"/>
        </w:rPr>
        <w:t>y. In addition this will</w:t>
      </w:r>
      <w:r w:rsidR="00973506">
        <w:rPr>
          <w:lang w:val="en-GB"/>
        </w:rPr>
        <w:t xml:space="preserve"> </w:t>
      </w:r>
      <w:r w:rsidRPr="00172EF0">
        <w:rPr>
          <w:lang w:val="en-GB"/>
        </w:rPr>
        <w:t>enhanc</w:t>
      </w:r>
      <w:r w:rsidR="00EE33B6">
        <w:rPr>
          <w:lang w:val="en-GB"/>
        </w:rPr>
        <w:t>e</w:t>
      </w:r>
      <w:r w:rsidRPr="00172EF0">
        <w:rPr>
          <w:lang w:val="en-GB"/>
        </w:rPr>
        <w:t xml:space="preserve"> researchers’</w:t>
      </w:r>
      <w:r>
        <w:rPr>
          <w:lang w:val="en-GB"/>
        </w:rPr>
        <w:t xml:space="preserve"> and health information experts’</w:t>
      </w:r>
      <w:r w:rsidRPr="00172EF0">
        <w:rPr>
          <w:lang w:val="en-GB"/>
        </w:rPr>
        <w:t xml:space="preserve"> mobility</w:t>
      </w:r>
      <w:r w:rsidR="00EE33B6">
        <w:rPr>
          <w:lang w:val="en-GB"/>
        </w:rPr>
        <w:t xml:space="preserve"> and</w:t>
      </w:r>
      <w:r w:rsidR="00CB15F4">
        <w:rPr>
          <w:lang w:val="en-GB"/>
        </w:rPr>
        <w:t xml:space="preserve"> provide the EU countries</w:t>
      </w:r>
      <w:r>
        <w:rPr>
          <w:lang w:val="en-GB"/>
        </w:rPr>
        <w:t xml:space="preserve"> with the necessary tools to e.g. carry out their own health system performance assessment.  </w:t>
      </w:r>
    </w:p>
    <w:p w14:paraId="05E98675" w14:textId="5AB9B562" w:rsidR="005C6E23" w:rsidRDefault="00DE05EA" w:rsidP="00E31A8E">
      <w:pPr>
        <w:spacing w:before="240" w:after="240"/>
        <w:rPr>
          <w:lang w:val="en-GB"/>
        </w:rPr>
      </w:pPr>
      <w:r>
        <w:t>T</w:t>
      </w:r>
      <w:r w:rsidRPr="00DE05EA">
        <w:t>he evidence and knowledge produced by research are not always readily available and may need further analyses, syntheses and translations to inform policy making.</w:t>
      </w:r>
      <w:r>
        <w:t xml:space="preserve"> T</w:t>
      </w:r>
      <w:r w:rsidR="00172EF0" w:rsidRPr="00172EF0">
        <w:rPr>
          <w:lang w:val="en-GB"/>
        </w:rPr>
        <w:t xml:space="preserve">he HIREP-ERIC will support </w:t>
      </w:r>
      <w:r w:rsidR="00B018B1">
        <w:rPr>
          <w:lang w:val="en-GB"/>
        </w:rPr>
        <w:t xml:space="preserve">the exchange and transfer of </w:t>
      </w:r>
      <w:r w:rsidR="0081578A">
        <w:rPr>
          <w:lang w:val="en-GB"/>
        </w:rPr>
        <w:t xml:space="preserve">health information and </w:t>
      </w:r>
      <w:r w:rsidR="005C6E23">
        <w:rPr>
          <w:lang w:val="en-GB"/>
        </w:rPr>
        <w:t xml:space="preserve">research </w:t>
      </w:r>
      <w:r w:rsidR="0081578A">
        <w:rPr>
          <w:lang w:val="en-GB"/>
        </w:rPr>
        <w:t xml:space="preserve">outcomes </w:t>
      </w:r>
      <w:r w:rsidR="005C6E23">
        <w:rPr>
          <w:lang w:val="en-GB"/>
        </w:rPr>
        <w:t>into policy</w:t>
      </w:r>
      <w:r w:rsidR="00B018B1">
        <w:rPr>
          <w:lang w:val="en-GB"/>
        </w:rPr>
        <w:t xml:space="preserve"> through dissemination activities, the strengthening of </w:t>
      </w:r>
      <w:r w:rsidR="006755E9">
        <w:rPr>
          <w:lang w:val="en-GB"/>
        </w:rPr>
        <w:t>network</w:t>
      </w:r>
      <w:r w:rsidR="00E31A8E">
        <w:rPr>
          <w:lang w:val="en-GB"/>
        </w:rPr>
        <w:t>s</w:t>
      </w:r>
      <w:r w:rsidR="006755E9">
        <w:rPr>
          <w:lang w:val="en-GB"/>
        </w:rPr>
        <w:t xml:space="preserve"> and capacity building. The HIREP-ERIC will disseminate</w:t>
      </w:r>
      <w:r w:rsidR="006755E9" w:rsidRPr="008407E3">
        <w:rPr>
          <w:lang w:val="en-GB"/>
        </w:rPr>
        <w:t xml:space="preserve"> policy-relevant </w:t>
      </w:r>
      <w:r w:rsidR="00F97DC4">
        <w:rPr>
          <w:lang w:val="en-GB"/>
        </w:rPr>
        <w:t>monitoring</w:t>
      </w:r>
      <w:r w:rsidR="006755E9" w:rsidRPr="008407E3">
        <w:rPr>
          <w:lang w:val="en-GB"/>
        </w:rPr>
        <w:t xml:space="preserve"> reports</w:t>
      </w:r>
      <w:r w:rsidR="0081578A">
        <w:rPr>
          <w:lang w:val="en-GB"/>
        </w:rPr>
        <w:t xml:space="preserve"> and critical synthetic reviews of scientific articles</w:t>
      </w:r>
      <w:r w:rsidR="00F97DC4">
        <w:rPr>
          <w:lang w:val="en-GB"/>
        </w:rPr>
        <w:t>,</w:t>
      </w:r>
      <w:r w:rsidR="006755E9" w:rsidRPr="008407E3">
        <w:rPr>
          <w:lang w:val="en-GB"/>
        </w:rPr>
        <w:t xml:space="preserve"> and internet-based tools from the area of comparative population health research and from comparative research in the area of health system performance assessment</w:t>
      </w:r>
      <w:r w:rsidR="006755E9">
        <w:rPr>
          <w:lang w:val="en-GB"/>
        </w:rPr>
        <w:t>.</w:t>
      </w:r>
      <w:r w:rsidR="00F97DC4" w:rsidRPr="00F97DC4">
        <w:rPr>
          <w:lang w:val="en-GB"/>
        </w:rPr>
        <w:t xml:space="preserve"> </w:t>
      </w:r>
      <w:r w:rsidR="00F97DC4">
        <w:rPr>
          <w:lang w:val="en-GB"/>
        </w:rPr>
        <w:t>The</w:t>
      </w:r>
      <w:r w:rsidR="00F97DC4" w:rsidRPr="006755E9">
        <w:rPr>
          <w:lang w:val="en-GB"/>
        </w:rPr>
        <w:t xml:space="preserve"> HIREP-ERIC will improve the knowledge translation of health </w:t>
      </w:r>
      <w:r w:rsidR="002B768D">
        <w:rPr>
          <w:lang w:val="en-GB"/>
        </w:rPr>
        <w:t xml:space="preserve">information and </w:t>
      </w:r>
      <w:r w:rsidR="00F97DC4" w:rsidRPr="006755E9">
        <w:rPr>
          <w:lang w:val="en-GB"/>
        </w:rPr>
        <w:t>research outcomes from the ERIC activities to the general public and to policymakers</w:t>
      </w:r>
      <w:r w:rsidR="00864D60">
        <w:rPr>
          <w:lang w:val="en-GB"/>
        </w:rPr>
        <w:t xml:space="preserve"> by</w:t>
      </w:r>
      <w:r w:rsidR="00F97DC4" w:rsidRPr="006755E9">
        <w:rPr>
          <w:lang w:val="en-GB"/>
        </w:rPr>
        <w:t xml:space="preserve"> collect</w:t>
      </w:r>
      <w:r w:rsidR="00864D60">
        <w:rPr>
          <w:lang w:val="en-GB"/>
        </w:rPr>
        <w:t>ing and disseminating</w:t>
      </w:r>
      <w:r w:rsidR="00F97DC4" w:rsidRPr="006755E9">
        <w:rPr>
          <w:lang w:val="en-GB"/>
        </w:rPr>
        <w:t xml:space="preserve"> best practices that will enable researchers </w:t>
      </w:r>
      <w:r w:rsidR="002B768D">
        <w:rPr>
          <w:lang w:val="en-GB"/>
        </w:rPr>
        <w:t xml:space="preserve">and institution in charge of health monitoring </w:t>
      </w:r>
      <w:r w:rsidR="00F97DC4" w:rsidRPr="006755E9">
        <w:rPr>
          <w:lang w:val="en-GB"/>
        </w:rPr>
        <w:t xml:space="preserve">to optimise their output to better </w:t>
      </w:r>
      <w:r w:rsidR="001A760B">
        <w:rPr>
          <w:lang w:val="en-GB"/>
        </w:rPr>
        <w:t>inform</w:t>
      </w:r>
      <w:r w:rsidR="001A760B" w:rsidRPr="006755E9">
        <w:rPr>
          <w:lang w:val="en-GB"/>
        </w:rPr>
        <w:t xml:space="preserve"> </w:t>
      </w:r>
      <w:r w:rsidR="00F97DC4" w:rsidRPr="006755E9">
        <w:rPr>
          <w:lang w:val="en-GB"/>
        </w:rPr>
        <w:t xml:space="preserve">policymakers and citizens. </w:t>
      </w:r>
    </w:p>
    <w:p w14:paraId="765AE952" w14:textId="77777777" w:rsidR="00172EF0" w:rsidRDefault="00172EF0" w:rsidP="002D3082">
      <w:pPr>
        <w:spacing w:before="240"/>
        <w:rPr>
          <w:lang w:val="en-GB"/>
        </w:rPr>
      </w:pPr>
      <w:r>
        <w:rPr>
          <w:lang w:val="en-GB"/>
        </w:rPr>
        <w:t>Services:</w:t>
      </w:r>
    </w:p>
    <w:p w14:paraId="0E6DC34D" w14:textId="4CDBD9A8" w:rsidR="00F005A0" w:rsidRDefault="00F005A0" w:rsidP="002D3082">
      <w:pPr>
        <w:spacing w:before="240"/>
        <w:rPr>
          <w:lang w:val="en-GB"/>
        </w:rPr>
      </w:pPr>
      <w:r>
        <w:rPr>
          <w:lang w:val="en-GB"/>
        </w:rPr>
        <w:t xml:space="preserve">1) </w:t>
      </w:r>
      <w:proofErr w:type="gramStart"/>
      <w:r>
        <w:rPr>
          <w:lang w:val="en-GB"/>
        </w:rPr>
        <w:t>to</w:t>
      </w:r>
      <w:proofErr w:type="gramEnd"/>
      <w:r>
        <w:rPr>
          <w:lang w:val="en-GB"/>
        </w:rPr>
        <w:t xml:space="preserve"> strengthen health information systems:</w:t>
      </w:r>
    </w:p>
    <w:p w14:paraId="36A909E2" w14:textId="77777777" w:rsidR="00F005A0" w:rsidRPr="00357FF6" w:rsidRDefault="00F005A0" w:rsidP="00F005A0">
      <w:pPr>
        <w:pStyle w:val="ListParagraph"/>
        <w:numPr>
          <w:ilvl w:val="0"/>
          <w:numId w:val="16"/>
        </w:numPr>
        <w:rPr>
          <w:lang w:val="en-GB"/>
        </w:rPr>
      </w:pPr>
      <w:r>
        <w:rPr>
          <w:lang w:val="en-GB"/>
        </w:rPr>
        <w:t>Organise workshops and meetings to strengthen networks and exchange of expertise;</w:t>
      </w:r>
    </w:p>
    <w:p w14:paraId="3AD288B0" w14:textId="56E86380" w:rsidR="009C7B08" w:rsidRPr="009C7B08" w:rsidRDefault="009C7B08" w:rsidP="009C7B08">
      <w:pPr>
        <w:pStyle w:val="ListParagraph"/>
        <w:numPr>
          <w:ilvl w:val="0"/>
          <w:numId w:val="16"/>
        </w:numPr>
        <w:rPr>
          <w:lang w:val="en-GB"/>
        </w:rPr>
      </w:pPr>
      <w:r w:rsidRPr="009C7B08">
        <w:rPr>
          <w:lang w:val="en-GB"/>
        </w:rPr>
        <w:t>Organise an annual conference bringing together all relevant health information projects with workshops on particular topics;</w:t>
      </w:r>
    </w:p>
    <w:p w14:paraId="49E8A856" w14:textId="359A6738" w:rsidR="009C7B08" w:rsidRDefault="009C7B08" w:rsidP="00F005A0">
      <w:pPr>
        <w:pStyle w:val="ListParagraph"/>
        <w:numPr>
          <w:ilvl w:val="0"/>
          <w:numId w:val="16"/>
        </w:numPr>
        <w:rPr>
          <w:lang w:val="en-GB"/>
        </w:rPr>
      </w:pPr>
      <w:r>
        <w:rPr>
          <w:lang w:val="en-GB"/>
        </w:rPr>
        <w:t>Organise capacity building activities upon request from users of the HIREP-ERIC;</w:t>
      </w:r>
    </w:p>
    <w:p w14:paraId="1C6E6573" w14:textId="44FBB826" w:rsidR="0029565B" w:rsidRPr="0029565B" w:rsidRDefault="0029565B" w:rsidP="0029565B">
      <w:pPr>
        <w:pStyle w:val="ListParagraph"/>
        <w:numPr>
          <w:ilvl w:val="0"/>
          <w:numId w:val="16"/>
        </w:numPr>
        <w:rPr>
          <w:lang w:val="en-GB"/>
        </w:rPr>
      </w:pPr>
      <w:r w:rsidRPr="0029565B">
        <w:rPr>
          <w:lang w:val="en-GB"/>
        </w:rPr>
        <w:t xml:space="preserve">Best practices </w:t>
      </w:r>
      <w:r>
        <w:rPr>
          <w:lang w:val="en-GB"/>
        </w:rPr>
        <w:t xml:space="preserve">exchange </w:t>
      </w:r>
      <w:r w:rsidRPr="0029565B">
        <w:rPr>
          <w:lang w:val="en-GB"/>
        </w:rPr>
        <w:t>and recommendations for linkage</w:t>
      </w:r>
      <w:r>
        <w:rPr>
          <w:lang w:val="en-GB"/>
        </w:rPr>
        <w:t xml:space="preserve"> of routine databases on health;</w:t>
      </w:r>
    </w:p>
    <w:p w14:paraId="7B186072" w14:textId="08A92365" w:rsidR="00973506" w:rsidRDefault="00973506" w:rsidP="00F005A0">
      <w:pPr>
        <w:pStyle w:val="ListParagraph"/>
        <w:numPr>
          <w:ilvl w:val="0"/>
          <w:numId w:val="16"/>
        </w:numPr>
        <w:rPr>
          <w:lang w:val="en-GB"/>
        </w:rPr>
      </w:pPr>
      <w:r>
        <w:rPr>
          <w:lang w:val="en-GB"/>
        </w:rPr>
        <w:t xml:space="preserve">Organise a yearlong training program with country exchange; </w:t>
      </w:r>
    </w:p>
    <w:p w14:paraId="57CD39EE" w14:textId="3883B58B" w:rsidR="00F005A0" w:rsidRDefault="00F005A0" w:rsidP="00F005A0">
      <w:pPr>
        <w:pStyle w:val="ListParagraph"/>
        <w:numPr>
          <w:ilvl w:val="0"/>
          <w:numId w:val="16"/>
        </w:numPr>
        <w:rPr>
          <w:lang w:val="en-GB"/>
        </w:rPr>
      </w:pPr>
      <w:r w:rsidRPr="00AB2118">
        <w:rPr>
          <w:lang w:val="en-GB"/>
        </w:rPr>
        <w:t xml:space="preserve">Support </w:t>
      </w:r>
      <w:r w:rsidR="00CB15F4">
        <w:rPr>
          <w:lang w:val="en-GB"/>
        </w:rPr>
        <w:t>EU countries</w:t>
      </w:r>
      <w:r w:rsidRPr="00AB2118">
        <w:rPr>
          <w:lang w:val="en-GB"/>
        </w:rPr>
        <w:t xml:space="preserve"> in realising development goals while enhancing the abilities that will allow them to achieve measurable and sustainable results;</w:t>
      </w:r>
      <w:r>
        <w:rPr>
          <w:lang w:val="en-GB"/>
        </w:rPr>
        <w:t xml:space="preserve"> </w:t>
      </w:r>
    </w:p>
    <w:p w14:paraId="77343600" w14:textId="62C3895A" w:rsidR="00F005A0" w:rsidRDefault="00F005A0" w:rsidP="00F005A0">
      <w:pPr>
        <w:pStyle w:val="ListParagraph"/>
        <w:numPr>
          <w:ilvl w:val="0"/>
          <w:numId w:val="15"/>
        </w:numPr>
        <w:rPr>
          <w:lang w:val="en-GB"/>
        </w:rPr>
      </w:pPr>
      <w:r>
        <w:rPr>
          <w:lang w:val="en-GB"/>
        </w:rPr>
        <w:t xml:space="preserve">Regularly report on state of health information of </w:t>
      </w:r>
      <w:r w:rsidR="00CB15F4">
        <w:rPr>
          <w:lang w:val="en-GB"/>
        </w:rPr>
        <w:t>EU countries</w:t>
      </w:r>
      <w:r>
        <w:rPr>
          <w:lang w:val="en-GB"/>
        </w:rPr>
        <w:t>;</w:t>
      </w:r>
    </w:p>
    <w:p w14:paraId="29089656" w14:textId="21690921" w:rsidR="00F005A0" w:rsidRDefault="00F005A0" w:rsidP="00546C2B">
      <w:pPr>
        <w:pStyle w:val="ListParagraph"/>
        <w:numPr>
          <w:ilvl w:val="0"/>
          <w:numId w:val="15"/>
        </w:numPr>
        <w:spacing w:after="240"/>
        <w:rPr>
          <w:lang w:val="en-GB"/>
        </w:rPr>
      </w:pPr>
      <w:r>
        <w:rPr>
          <w:lang w:val="en-GB"/>
        </w:rPr>
        <w:t>Draft a report on the yearly state of health information in the EU and MS;</w:t>
      </w:r>
      <w:r w:rsidRPr="008F18BD">
        <w:rPr>
          <w:lang w:val="en-GB"/>
        </w:rPr>
        <w:t xml:space="preserve"> </w:t>
      </w:r>
    </w:p>
    <w:p w14:paraId="30FAB132" w14:textId="176166D7" w:rsidR="00F005A0" w:rsidRPr="00F005A0" w:rsidRDefault="00F005A0" w:rsidP="00546C2B">
      <w:pPr>
        <w:keepNext/>
        <w:rPr>
          <w:lang w:val="en-GB"/>
        </w:rPr>
      </w:pPr>
      <w:r>
        <w:rPr>
          <w:lang w:val="en-GB"/>
        </w:rPr>
        <w:t xml:space="preserve">2) </w:t>
      </w:r>
      <w:proofErr w:type="gramStart"/>
      <w:r>
        <w:rPr>
          <w:lang w:val="en-GB"/>
        </w:rPr>
        <w:t>to</w:t>
      </w:r>
      <w:proofErr w:type="gramEnd"/>
      <w:r>
        <w:rPr>
          <w:lang w:val="en-GB"/>
        </w:rPr>
        <w:t xml:space="preserve"> improve transfer into policy making : </w:t>
      </w:r>
    </w:p>
    <w:p w14:paraId="18B5E81A" w14:textId="2A501DFF" w:rsidR="00B01FA8" w:rsidRDefault="00B01FA8" w:rsidP="00890E38">
      <w:pPr>
        <w:pStyle w:val="ListParagraph"/>
        <w:numPr>
          <w:ilvl w:val="0"/>
          <w:numId w:val="16"/>
        </w:numPr>
        <w:rPr>
          <w:lang w:val="en-GB"/>
        </w:rPr>
      </w:pPr>
      <w:r>
        <w:rPr>
          <w:lang w:val="en-GB"/>
        </w:rPr>
        <w:t xml:space="preserve">Disseminate </w:t>
      </w:r>
      <w:r w:rsidR="001A760B">
        <w:rPr>
          <w:lang w:val="en-GB"/>
        </w:rPr>
        <w:t xml:space="preserve">reports, synthetic critical reviews of </w:t>
      </w:r>
      <w:r>
        <w:rPr>
          <w:lang w:val="en-GB"/>
        </w:rPr>
        <w:t>scientific articles, internet-based tools</w:t>
      </w:r>
      <w:r w:rsidR="0033336A">
        <w:rPr>
          <w:lang w:val="en-GB"/>
        </w:rPr>
        <w:t xml:space="preserve"> and repository for policy briefs;</w:t>
      </w:r>
    </w:p>
    <w:p w14:paraId="1595E3EC" w14:textId="52659936" w:rsidR="00B01FA8" w:rsidRDefault="00B01FA8" w:rsidP="00890E38">
      <w:pPr>
        <w:pStyle w:val="ListParagraph"/>
        <w:numPr>
          <w:ilvl w:val="0"/>
          <w:numId w:val="16"/>
        </w:numPr>
        <w:rPr>
          <w:lang w:val="en-GB"/>
        </w:rPr>
      </w:pPr>
      <w:r>
        <w:rPr>
          <w:lang w:val="en-GB"/>
        </w:rPr>
        <w:t xml:space="preserve">Support </w:t>
      </w:r>
      <w:r w:rsidR="002B768D">
        <w:rPr>
          <w:lang w:val="en-GB"/>
        </w:rPr>
        <w:t xml:space="preserve">institutions in charge of health monitoring and </w:t>
      </w:r>
      <w:r>
        <w:rPr>
          <w:lang w:val="en-GB"/>
        </w:rPr>
        <w:t xml:space="preserve">researchers to optimise </w:t>
      </w:r>
      <w:r w:rsidR="002B768D">
        <w:rPr>
          <w:lang w:val="en-GB"/>
        </w:rPr>
        <w:t xml:space="preserve">their </w:t>
      </w:r>
      <w:r>
        <w:rPr>
          <w:lang w:val="en-GB"/>
        </w:rPr>
        <w:t>outcomes</w:t>
      </w:r>
      <w:r w:rsidR="002D3B32">
        <w:rPr>
          <w:lang w:val="en-GB"/>
        </w:rPr>
        <w:t xml:space="preserve"> to better </w:t>
      </w:r>
      <w:r w:rsidR="002B768D">
        <w:rPr>
          <w:lang w:val="en-GB"/>
        </w:rPr>
        <w:t xml:space="preserve">inform </w:t>
      </w:r>
      <w:r w:rsidR="002D3B32">
        <w:rPr>
          <w:lang w:val="en-GB"/>
        </w:rPr>
        <w:t>policy-makers and citizens</w:t>
      </w:r>
      <w:r>
        <w:rPr>
          <w:lang w:val="en-GB"/>
        </w:rPr>
        <w:t>;</w:t>
      </w:r>
      <w:r w:rsidR="00F005A0">
        <w:rPr>
          <w:lang w:val="en-GB"/>
        </w:rPr>
        <w:t xml:space="preserve"> and</w:t>
      </w:r>
    </w:p>
    <w:p w14:paraId="426D08EA" w14:textId="1FE66C80" w:rsidR="00F005A0" w:rsidRPr="00F70D1F" w:rsidRDefault="00F005A0" w:rsidP="00F005A0">
      <w:pPr>
        <w:pStyle w:val="ListParagraph"/>
        <w:numPr>
          <w:ilvl w:val="0"/>
          <w:numId w:val="16"/>
        </w:numPr>
        <w:rPr>
          <w:lang w:val="en-GB"/>
        </w:rPr>
      </w:pPr>
      <w:r>
        <w:rPr>
          <w:lang w:val="en-GB"/>
        </w:rPr>
        <w:t>Support and monitor the utilization of information in practice.</w:t>
      </w:r>
    </w:p>
    <w:p w14:paraId="4F4C25E7" w14:textId="77777777" w:rsidR="00F005A0" w:rsidRPr="00F005A0" w:rsidRDefault="00F005A0" w:rsidP="00546C2B">
      <w:pPr>
        <w:ind w:left="360"/>
        <w:rPr>
          <w:lang w:val="en-GB"/>
        </w:rPr>
      </w:pPr>
    </w:p>
    <w:p w14:paraId="5C1779B0" w14:textId="33789B10" w:rsidR="004B7C7D" w:rsidRDefault="003C3C7A" w:rsidP="00172EF0">
      <w:pPr>
        <w:pStyle w:val="Heading3"/>
        <w:ind w:left="1170" w:hanging="540"/>
        <w:rPr>
          <w:lang w:val="en-GB"/>
        </w:rPr>
      </w:pPr>
      <w:bookmarkStart w:id="15" w:name="_Toc469063801"/>
      <w:r>
        <w:rPr>
          <w:lang w:val="en-GB"/>
        </w:rPr>
        <w:t>P</w:t>
      </w:r>
      <w:r w:rsidR="009C7B08">
        <w:rPr>
          <w:lang w:val="en-GB"/>
        </w:rPr>
        <w:t xml:space="preserve">rioritising and financing health information </w:t>
      </w:r>
      <w:bookmarkEnd w:id="15"/>
    </w:p>
    <w:p w14:paraId="0BA440C3" w14:textId="7EF65C56" w:rsidR="004B7C7D" w:rsidRDefault="004B7C7D" w:rsidP="004B7C7D">
      <w:pPr>
        <w:rPr>
          <w:lang w:val="en-GB"/>
        </w:rPr>
      </w:pPr>
      <w:r>
        <w:rPr>
          <w:lang w:val="en-GB"/>
        </w:rPr>
        <w:t>The HIREP-ERIC will carry out horizon scanning activities</w:t>
      </w:r>
      <w:r w:rsidRPr="004B7C7D">
        <w:rPr>
          <w:lang w:val="en-GB"/>
        </w:rPr>
        <w:t xml:space="preserve"> </w:t>
      </w:r>
      <w:r>
        <w:rPr>
          <w:lang w:val="en-GB"/>
        </w:rPr>
        <w:t>to detect</w:t>
      </w:r>
      <w:r w:rsidRPr="00001F4E">
        <w:rPr>
          <w:lang w:val="en-GB"/>
        </w:rPr>
        <w:t xml:space="preserve"> early signs of potentially important developments through a systematic examination of potential threats and opportunities, with emphasis on new technology and its effects on the issue at hand.</w:t>
      </w:r>
      <w:r w:rsidRPr="004B7C7D">
        <w:rPr>
          <w:lang w:val="en-GB"/>
        </w:rPr>
        <w:t xml:space="preserve"> </w:t>
      </w:r>
      <w:r w:rsidRPr="00001F4E">
        <w:rPr>
          <w:lang w:val="en-GB"/>
        </w:rPr>
        <w:t xml:space="preserve">It </w:t>
      </w:r>
      <w:r w:rsidR="00F707A7">
        <w:rPr>
          <w:lang w:val="en-GB"/>
        </w:rPr>
        <w:t xml:space="preserve">will </w:t>
      </w:r>
      <w:r w:rsidRPr="00001F4E">
        <w:rPr>
          <w:lang w:val="en-GB"/>
        </w:rPr>
        <w:t>explore novel and unexpected issues as well as persistent problems and trends.</w:t>
      </w:r>
      <w:r w:rsidR="00F707A7">
        <w:rPr>
          <w:lang w:val="en-GB"/>
        </w:rPr>
        <w:t xml:space="preserve"> This will allow the HIREP-ERIC to guide </w:t>
      </w:r>
      <w:r w:rsidR="00CB15F4">
        <w:rPr>
          <w:lang w:val="en-GB"/>
        </w:rPr>
        <w:t>EU countries</w:t>
      </w:r>
      <w:r w:rsidR="00F707A7">
        <w:rPr>
          <w:lang w:val="en-GB"/>
        </w:rPr>
        <w:t xml:space="preserve">, the European Commission and international organisations in designing </w:t>
      </w:r>
      <w:proofErr w:type="spellStart"/>
      <w:r w:rsidR="00F707A7">
        <w:rPr>
          <w:lang w:val="en-GB"/>
        </w:rPr>
        <w:t>workplans</w:t>
      </w:r>
      <w:proofErr w:type="spellEnd"/>
      <w:r w:rsidR="00230D1F">
        <w:rPr>
          <w:lang w:val="en-GB"/>
        </w:rPr>
        <w:t>, setting priorities</w:t>
      </w:r>
      <w:r w:rsidR="00F707A7">
        <w:rPr>
          <w:lang w:val="en-GB"/>
        </w:rPr>
        <w:t xml:space="preserve"> and </w:t>
      </w:r>
      <w:r w:rsidR="00230D1F">
        <w:rPr>
          <w:lang w:val="en-GB"/>
        </w:rPr>
        <w:t>drawing up</w:t>
      </w:r>
      <w:r w:rsidR="00F707A7">
        <w:rPr>
          <w:lang w:val="en-GB"/>
        </w:rPr>
        <w:t xml:space="preserve"> agendas in health information. </w:t>
      </w:r>
    </w:p>
    <w:p w14:paraId="392FFD4B" w14:textId="77777777" w:rsidR="00331771" w:rsidRPr="00331771" w:rsidRDefault="00F707A7" w:rsidP="00331771">
      <w:r>
        <w:rPr>
          <w:lang w:val="en-GB"/>
        </w:rPr>
        <w:t xml:space="preserve">The HIREP-ERIC will also </w:t>
      </w:r>
      <w:r w:rsidR="00D602DF">
        <w:rPr>
          <w:lang w:val="en-GB"/>
        </w:rPr>
        <w:t xml:space="preserve">define research priorities and </w:t>
      </w:r>
      <w:r>
        <w:rPr>
          <w:lang w:val="en-GB"/>
        </w:rPr>
        <w:t xml:space="preserve">coordinate research project development </w:t>
      </w:r>
      <w:r w:rsidR="002E43CC" w:rsidRPr="002E43CC">
        <w:rPr>
          <w:lang w:val="en-GB"/>
        </w:rPr>
        <w:t>in fields of population health monitoring and health system performance assessment.</w:t>
      </w:r>
      <w:r w:rsidR="002E43CC">
        <w:rPr>
          <w:lang w:val="en-GB"/>
        </w:rPr>
        <w:t xml:space="preserve"> </w:t>
      </w:r>
      <w:r w:rsidR="00331771" w:rsidRPr="00331771">
        <w:t>All to be guided on the basis of clear criteria for priorities in comparable health data collection and on the basis of priorities and data needs that are shared among multiple European countries.</w:t>
      </w:r>
    </w:p>
    <w:p w14:paraId="148AAB69" w14:textId="247D1415" w:rsidR="00331771" w:rsidRPr="00331771" w:rsidRDefault="00331771" w:rsidP="00331771">
      <w:r w:rsidRPr="00331771">
        <w:t xml:space="preserve">Research </w:t>
      </w:r>
      <w:r>
        <w:t>project</w:t>
      </w:r>
      <w:r w:rsidRPr="00331771">
        <w:t xml:space="preserve"> support by the HIREP-ERIC will </w:t>
      </w:r>
      <w:r>
        <w:t>be three</w:t>
      </w:r>
      <w:r w:rsidRPr="00331771">
        <w:t>fold:</w:t>
      </w:r>
    </w:p>
    <w:p w14:paraId="26DE8704" w14:textId="3E0E25E4" w:rsidR="00331771" w:rsidRPr="00331771" w:rsidRDefault="00331771" w:rsidP="00331771">
      <w:pPr>
        <w:pStyle w:val="ListParagraph"/>
        <w:numPr>
          <w:ilvl w:val="0"/>
          <w:numId w:val="36"/>
        </w:numPr>
      </w:pPr>
      <w:r w:rsidRPr="00331771">
        <w:t xml:space="preserve">Strengthening and maintaining research </w:t>
      </w:r>
      <w:r>
        <w:t>projects</w:t>
      </w:r>
      <w:r w:rsidRPr="00331771">
        <w:t xml:space="preserve"> that collect comparable, policy relevant health data and information and use scientific analyses for policy support. They will also work towards harmonizing nationally representative data collection mechanisms and developing new scientific methods for policy relevant indicator development and knowledge translation. </w:t>
      </w:r>
    </w:p>
    <w:p w14:paraId="41EE788F" w14:textId="6167CFBA" w:rsidR="00331771" w:rsidRPr="00331771" w:rsidRDefault="00331771" w:rsidP="00331771">
      <w:pPr>
        <w:pStyle w:val="ListParagraph"/>
        <w:numPr>
          <w:ilvl w:val="0"/>
          <w:numId w:val="36"/>
        </w:numPr>
      </w:pPr>
      <w:r w:rsidRPr="00331771">
        <w:t xml:space="preserve">Developing and strengthening research </w:t>
      </w:r>
      <w:r>
        <w:t>projects</w:t>
      </w:r>
      <w:r w:rsidRPr="00331771">
        <w:t xml:space="preserve"> that need expanding their European country coverage as well as expanding and defining comparable data collections and/or improving their methods and tools for health data collection and comparative research. </w:t>
      </w:r>
    </w:p>
    <w:p w14:paraId="37553AED" w14:textId="1D460D0C" w:rsidR="002D3082" w:rsidRPr="00331771" w:rsidRDefault="002E43CC" w:rsidP="00331771">
      <w:pPr>
        <w:pStyle w:val="ListParagraph"/>
        <w:numPr>
          <w:ilvl w:val="0"/>
          <w:numId w:val="36"/>
        </w:numPr>
        <w:spacing w:after="240"/>
        <w:rPr>
          <w:lang w:val="en-GB"/>
        </w:rPr>
      </w:pPr>
      <w:r w:rsidRPr="00331771">
        <w:rPr>
          <w:lang w:val="en-GB"/>
        </w:rPr>
        <w:t>It will assist proje</w:t>
      </w:r>
      <w:r w:rsidR="00F707A7" w:rsidRPr="00331771">
        <w:rPr>
          <w:lang w:val="en-GB"/>
        </w:rPr>
        <w:t>cts in obtaining funding.</w:t>
      </w:r>
      <w:r w:rsidR="00C86E82" w:rsidRPr="00331771">
        <w:rPr>
          <w:lang w:val="en-GB"/>
        </w:rPr>
        <w:t xml:space="preserve"> The HIREP-ERIC will enable its participants to better partake in EU-funded research projects, such as the Horizon 2020 programme, the public health action programmes, and any others.</w:t>
      </w:r>
    </w:p>
    <w:p w14:paraId="5BC277E1" w14:textId="77777777" w:rsidR="002D3082" w:rsidRDefault="002D3082" w:rsidP="00864D60">
      <w:pPr>
        <w:rPr>
          <w:lang w:val="en-GB"/>
        </w:rPr>
      </w:pPr>
      <w:r>
        <w:rPr>
          <w:lang w:val="en-GB"/>
        </w:rPr>
        <w:t>Services:</w:t>
      </w:r>
    </w:p>
    <w:p w14:paraId="4E7DCE26" w14:textId="77777777" w:rsidR="00F707A7" w:rsidRDefault="00F707A7" w:rsidP="00890E38">
      <w:pPr>
        <w:pStyle w:val="ListParagraph"/>
        <w:numPr>
          <w:ilvl w:val="0"/>
          <w:numId w:val="18"/>
        </w:numPr>
        <w:rPr>
          <w:lang w:val="en-GB"/>
        </w:rPr>
      </w:pPr>
      <w:r>
        <w:rPr>
          <w:lang w:val="en-GB"/>
        </w:rPr>
        <w:t>Carry out horizon scanning activities</w:t>
      </w:r>
      <w:r w:rsidR="00C2550A">
        <w:rPr>
          <w:lang w:val="en-GB"/>
        </w:rPr>
        <w:t xml:space="preserve"> in</w:t>
      </w:r>
      <w:r w:rsidR="007E3963">
        <w:rPr>
          <w:lang w:val="en-GB"/>
        </w:rPr>
        <w:t xml:space="preserve"> population health and health system performance</w:t>
      </w:r>
      <w:r>
        <w:rPr>
          <w:lang w:val="en-GB"/>
        </w:rPr>
        <w:t>;</w:t>
      </w:r>
    </w:p>
    <w:p w14:paraId="4B5A78B9" w14:textId="43CF1C58" w:rsidR="008F18BD" w:rsidRDefault="008F18BD" w:rsidP="00890E38">
      <w:pPr>
        <w:pStyle w:val="ListParagraph"/>
        <w:numPr>
          <w:ilvl w:val="0"/>
          <w:numId w:val="18"/>
        </w:numPr>
        <w:rPr>
          <w:lang w:val="en-GB"/>
        </w:rPr>
      </w:pPr>
      <w:r>
        <w:rPr>
          <w:lang w:val="en-GB"/>
        </w:rPr>
        <w:t>Highlight areas of action</w:t>
      </w:r>
      <w:r w:rsidR="00321C08">
        <w:rPr>
          <w:lang w:val="en-GB"/>
        </w:rPr>
        <w:t xml:space="preserve"> to Members of the E</w:t>
      </w:r>
      <w:r w:rsidR="00D602DF">
        <w:rPr>
          <w:lang w:val="en-GB"/>
        </w:rPr>
        <w:t>RIC</w:t>
      </w:r>
      <w:r>
        <w:rPr>
          <w:lang w:val="en-GB"/>
        </w:rPr>
        <w:t xml:space="preserve"> in population health and health system performance;</w:t>
      </w:r>
      <w:r w:rsidRPr="00DB38A6">
        <w:rPr>
          <w:lang w:val="en-GB"/>
        </w:rPr>
        <w:t xml:space="preserve"> </w:t>
      </w:r>
    </w:p>
    <w:p w14:paraId="68D620C7" w14:textId="5BECFFD6" w:rsidR="00F707A7" w:rsidRDefault="00F707A7" w:rsidP="00890E38">
      <w:pPr>
        <w:pStyle w:val="ListParagraph"/>
        <w:numPr>
          <w:ilvl w:val="0"/>
          <w:numId w:val="18"/>
        </w:numPr>
        <w:rPr>
          <w:lang w:val="en-GB"/>
        </w:rPr>
      </w:pPr>
      <w:r>
        <w:rPr>
          <w:lang w:val="en-GB"/>
        </w:rPr>
        <w:t xml:space="preserve">Support agenda setting and </w:t>
      </w:r>
      <w:r w:rsidR="007B5FFA">
        <w:rPr>
          <w:lang w:val="en-GB"/>
        </w:rPr>
        <w:t>work plan</w:t>
      </w:r>
      <w:r>
        <w:rPr>
          <w:lang w:val="en-GB"/>
        </w:rPr>
        <w:t xml:space="preserve"> development upon request;</w:t>
      </w:r>
    </w:p>
    <w:p w14:paraId="1A098A47" w14:textId="03479A9F" w:rsidR="002D3B32" w:rsidRDefault="002D3B32" w:rsidP="00890E38">
      <w:pPr>
        <w:pStyle w:val="ListParagraph"/>
        <w:numPr>
          <w:ilvl w:val="0"/>
          <w:numId w:val="18"/>
        </w:numPr>
        <w:rPr>
          <w:lang w:val="en-GB"/>
        </w:rPr>
      </w:pPr>
      <w:r>
        <w:rPr>
          <w:lang w:val="en-GB"/>
        </w:rPr>
        <w:t>A</w:t>
      </w:r>
      <w:r w:rsidR="007503C7">
        <w:rPr>
          <w:lang w:val="en-GB"/>
        </w:rPr>
        <w:t>ssist health information activities and projects</w:t>
      </w:r>
      <w:r>
        <w:rPr>
          <w:lang w:val="en-GB"/>
        </w:rPr>
        <w:t xml:space="preserve"> in obtaining funding;</w:t>
      </w:r>
    </w:p>
    <w:p w14:paraId="7B0A870D" w14:textId="77777777" w:rsidR="00116A99" w:rsidRDefault="00116A99" w:rsidP="00116A99">
      <w:pPr>
        <w:pStyle w:val="Heading3"/>
        <w:ind w:left="1170" w:hanging="540"/>
        <w:rPr>
          <w:lang w:val="en-GB"/>
        </w:rPr>
      </w:pPr>
      <w:bookmarkStart w:id="16" w:name="_Toc469063802"/>
      <w:r>
        <w:rPr>
          <w:lang w:val="en-GB"/>
        </w:rPr>
        <w:t xml:space="preserve">Liaise with </w:t>
      </w:r>
      <w:r w:rsidR="00B018B1">
        <w:rPr>
          <w:lang w:val="en-GB"/>
        </w:rPr>
        <w:t xml:space="preserve">regional, </w:t>
      </w:r>
      <w:r>
        <w:rPr>
          <w:lang w:val="en-GB"/>
        </w:rPr>
        <w:t>national, European and international organisations</w:t>
      </w:r>
      <w:bookmarkEnd w:id="16"/>
    </w:p>
    <w:p w14:paraId="5DEC05F1" w14:textId="7F1AE036" w:rsidR="005303C9" w:rsidRPr="005303C9" w:rsidRDefault="00116A99" w:rsidP="005303C9">
      <w:pPr>
        <w:rPr>
          <w:lang w:val="en-GB"/>
        </w:rPr>
      </w:pPr>
      <w:r w:rsidRPr="00116A99">
        <w:rPr>
          <w:lang w:val="en-GB"/>
        </w:rPr>
        <w:t xml:space="preserve">The HIREP-ERIC also aims to bring together </w:t>
      </w:r>
      <w:r w:rsidR="00357FF6">
        <w:rPr>
          <w:lang w:val="en-GB"/>
        </w:rPr>
        <w:t xml:space="preserve">regional, national, European and international </w:t>
      </w:r>
      <w:r w:rsidRPr="00116A99">
        <w:rPr>
          <w:lang w:val="en-GB"/>
        </w:rPr>
        <w:t>organisations. The HIREP-ERIC will take into account existing infrastructures and build on existing expertise and knowledge. It will also give special attention to initiatives promoted at the European level and their integration at the global scale.</w:t>
      </w:r>
      <w:r w:rsidR="005303C9" w:rsidRPr="005303C9">
        <w:rPr>
          <w:lang w:val="en-GB"/>
        </w:rPr>
        <w:t xml:space="preserve"> </w:t>
      </w:r>
      <w:r w:rsidR="005303C9">
        <w:rPr>
          <w:lang w:val="en-GB"/>
        </w:rPr>
        <w:t>T</w:t>
      </w:r>
      <w:r w:rsidR="005303C9" w:rsidRPr="005303C9">
        <w:rPr>
          <w:lang w:val="en-GB"/>
        </w:rPr>
        <w:t xml:space="preserve">he HIREP-ERIC will </w:t>
      </w:r>
      <w:r w:rsidR="005303C9" w:rsidRPr="005303C9">
        <w:rPr>
          <w:lang w:val="en-GB"/>
        </w:rPr>
        <w:lastRenderedPageBreak/>
        <w:t xml:space="preserve">provide a </w:t>
      </w:r>
      <w:r w:rsidR="00F16BF8">
        <w:rPr>
          <w:lang w:val="en-GB"/>
        </w:rPr>
        <w:t>forum</w:t>
      </w:r>
      <w:r w:rsidR="005303C9" w:rsidRPr="005303C9">
        <w:rPr>
          <w:lang w:val="en-GB"/>
        </w:rPr>
        <w:t xml:space="preserve"> for international cooperation and collaboration on health information. The HIREP-ERIC will facilitate the interaction of national and international stakeholders.</w:t>
      </w:r>
    </w:p>
    <w:p w14:paraId="42ACD115" w14:textId="62B1B7CF" w:rsidR="00F1352D" w:rsidRDefault="008319FB" w:rsidP="00116A99">
      <w:pPr>
        <w:rPr>
          <w:lang w:val="en-GB"/>
        </w:rPr>
      </w:pPr>
      <w:r>
        <w:rPr>
          <w:lang w:val="en-GB"/>
        </w:rPr>
        <w:t>EU countries</w:t>
      </w:r>
      <w:r w:rsidR="00F1352D">
        <w:rPr>
          <w:lang w:val="en-GB"/>
        </w:rPr>
        <w:t xml:space="preserve"> can request the HIREP-ERIC to liaise or coordinate relevant players in the ERIC competence area in their country. They can decide on the format this service should be</w:t>
      </w:r>
      <w:r w:rsidR="006370D6">
        <w:rPr>
          <w:lang w:val="en-GB"/>
        </w:rPr>
        <w:t xml:space="preserve"> provided</w:t>
      </w:r>
      <w:r w:rsidR="003A6FD0">
        <w:rPr>
          <w:lang w:val="en-GB"/>
        </w:rPr>
        <w:t>. The HIR</w:t>
      </w:r>
      <w:r w:rsidR="00F1352D">
        <w:rPr>
          <w:lang w:val="en-GB"/>
        </w:rPr>
        <w:t xml:space="preserve">EP-ERIC can also enhance coordination of participating </w:t>
      </w:r>
      <w:r w:rsidR="006370D6">
        <w:rPr>
          <w:lang w:val="en-GB"/>
        </w:rPr>
        <w:t>organisations of researchers working in the ERIC competence area.</w:t>
      </w:r>
    </w:p>
    <w:p w14:paraId="7ADDE6FF" w14:textId="394C2EAC" w:rsidR="005065F9" w:rsidRDefault="005065F9" w:rsidP="00116A99">
      <w:pPr>
        <w:rPr>
          <w:lang w:val="en-GB"/>
        </w:rPr>
      </w:pPr>
      <w:r>
        <w:rPr>
          <w:lang w:val="en-GB"/>
        </w:rPr>
        <w:t xml:space="preserve">Some of the </w:t>
      </w:r>
      <w:r w:rsidR="00F37B76">
        <w:rPr>
          <w:lang w:val="en-GB"/>
        </w:rPr>
        <w:t>partners the HIREP-ERIC w</w:t>
      </w:r>
      <w:r>
        <w:rPr>
          <w:lang w:val="en-GB"/>
        </w:rPr>
        <w:t xml:space="preserve">ould </w:t>
      </w:r>
      <w:r w:rsidR="00AE2C3F">
        <w:rPr>
          <w:lang w:val="en-GB"/>
        </w:rPr>
        <w:t xml:space="preserve">need to </w:t>
      </w:r>
      <w:r>
        <w:rPr>
          <w:lang w:val="en-GB"/>
        </w:rPr>
        <w:t>liaise with</w:t>
      </w:r>
      <w:r w:rsidR="00602C4E">
        <w:rPr>
          <w:lang w:val="en-GB"/>
        </w:rPr>
        <w:t xml:space="preserve"> are</w:t>
      </w:r>
      <w:r>
        <w:rPr>
          <w:lang w:val="en-GB"/>
        </w:rPr>
        <w:t>:</w:t>
      </w:r>
    </w:p>
    <w:p w14:paraId="2DF3B2B5" w14:textId="77777777" w:rsidR="00DD64AB" w:rsidRDefault="00DD64AB" w:rsidP="00890E38">
      <w:pPr>
        <w:pStyle w:val="ListParagraph"/>
        <w:numPr>
          <w:ilvl w:val="0"/>
          <w:numId w:val="18"/>
        </w:numPr>
        <w:rPr>
          <w:lang w:val="en-GB"/>
        </w:rPr>
      </w:pPr>
      <w:r>
        <w:rPr>
          <w:lang w:val="en-GB"/>
        </w:rPr>
        <w:t>The Expert Group of Health Information (EGHI) and other consultati</w:t>
      </w:r>
      <w:r w:rsidR="008F18BD">
        <w:rPr>
          <w:lang w:val="en-GB"/>
        </w:rPr>
        <w:t>ve structures in the Commission such as the Expert Group on Health System Performance, Joint Assessment Framework (JAF) on Health.</w:t>
      </w:r>
    </w:p>
    <w:p w14:paraId="791B9D25" w14:textId="77777777" w:rsidR="00F37B76" w:rsidRPr="00F37B76" w:rsidRDefault="00F37B76" w:rsidP="00890E38">
      <w:pPr>
        <w:pStyle w:val="ListParagraph"/>
        <w:numPr>
          <w:ilvl w:val="0"/>
          <w:numId w:val="18"/>
        </w:numPr>
        <w:rPr>
          <w:lang w:val="en-GB"/>
        </w:rPr>
      </w:pPr>
      <w:r w:rsidRPr="00F37B76">
        <w:rPr>
          <w:lang w:val="en-GB"/>
        </w:rPr>
        <w:t>European agencies, in particular the</w:t>
      </w:r>
      <w:r w:rsidR="00531821" w:rsidRPr="00531821">
        <w:rPr>
          <w:iCs w:val="0"/>
        </w:rPr>
        <w:t xml:space="preserve"> </w:t>
      </w:r>
      <w:r w:rsidR="00531821" w:rsidRPr="00531821">
        <w:t xml:space="preserve">European Centre for Disease Prevention and Control </w:t>
      </w:r>
      <w:r w:rsidRPr="00F37B76">
        <w:rPr>
          <w:lang w:val="en-GB"/>
        </w:rPr>
        <w:t xml:space="preserve">but also others such as the European Environment Agency, the European Monitoring Centre for Drugs and Drug Addiction, the European Medicines Evaluation Agency, </w:t>
      </w:r>
      <w:r w:rsidR="00602C4E" w:rsidRPr="00602C4E">
        <w:rPr>
          <w:lang w:val="en-GB"/>
        </w:rPr>
        <w:t>European Agency for Safety and Health at Work</w:t>
      </w:r>
      <w:r w:rsidR="00602C4E">
        <w:rPr>
          <w:lang w:val="en-GB"/>
        </w:rPr>
        <w:t>,</w:t>
      </w:r>
      <w:r w:rsidR="00602C4E" w:rsidRPr="00602C4E">
        <w:rPr>
          <w:lang w:val="en-GB"/>
        </w:rPr>
        <w:t xml:space="preserve"> </w:t>
      </w:r>
      <w:r w:rsidRPr="00F37B76">
        <w:rPr>
          <w:lang w:val="en-GB"/>
        </w:rPr>
        <w:t>and the European Foundation for the</w:t>
      </w:r>
      <w:r>
        <w:rPr>
          <w:lang w:val="en-GB"/>
        </w:rPr>
        <w:t xml:space="preserve"> </w:t>
      </w:r>
      <w:r w:rsidRPr="00F37B76">
        <w:rPr>
          <w:lang w:val="en-GB"/>
        </w:rPr>
        <w:t>Improvement of Living and Working Conditions;</w:t>
      </w:r>
    </w:p>
    <w:p w14:paraId="33689B04" w14:textId="77777777" w:rsidR="00531821" w:rsidRPr="00531821" w:rsidRDefault="00531821" w:rsidP="00890E38">
      <w:pPr>
        <w:pStyle w:val="ListParagraph"/>
        <w:numPr>
          <w:ilvl w:val="0"/>
          <w:numId w:val="18"/>
        </w:numPr>
        <w:rPr>
          <w:lang w:val="en-GB"/>
        </w:rPr>
      </w:pPr>
      <w:r w:rsidRPr="00531821">
        <w:rPr>
          <w:lang w:val="en-GB"/>
        </w:rPr>
        <w:t>European Commission services</w:t>
      </w:r>
      <w:r w:rsidRPr="00531821">
        <w:rPr>
          <w:iCs w:val="0"/>
          <w:lang w:val="en-GB"/>
        </w:rPr>
        <w:t xml:space="preserve"> </w:t>
      </w:r>
      <w:r w:rsidRPr="00531821">
        <w:rPr>
          <w:lang w:val="en-GB"/>
        </w:rPr>
        <w:t>are also vital partners, such as SANTE, ESTAT</w:t>
      </w:r>
      <w:r>
        <w:rPr>
          <w:lang w:val="en-GB"/>
        </w:rPr>
        <w:t>,</w:t>
      </w:r>
      <w:r w:rsidRPr="00531821">
        <w:rPr>
          <w:lang w:val="en-GB"/>
        </w:rPr>
        <w:t xml:space="preserve"> RTD, </w:t>
      </w:r>
      <w:r>
        <w:rPr>
          <w:lang w:val="en-GB"/>
        </w:rPr>
        <w:t xml:space="preserve">JRC, </w:t>
      </w:r>
      <w:r w:rsidR="005A41D5">
        <w:rPr>
          <w:lang w:val="en-GB"/>
        </w:rPr>
        <w:t xml:space="preserve">and others such as </w:t>
      </w:r>
      <w:r w:rsidRPr="00531821">
        <w:rPr>
          <w:lang w:val="en-GB"/>
        </w:rPr>
        <w:t>EMPL, ENV,</w:t>
      </w:r>
      <w:r>
        <w:rPr>
          <w:lang w:val="en-GB"/>
        </w:rPr>
        <w:t xml:space="preserve"> ECFIN, GROW</w:t>
      </w:r>
      <w:r w:rsidRPr="00531821">
        <w:rPr>
          <w:lang w:val="en-GB"/>
        </w:rPr>
        <w:t xml:space="preserve">, </w:t>
      </w:r>
      <w:r>
        <w:rPr>
          <w:lang w:val="en-GB"/>
        </w:rPr>
        <w:t>REGIO and MOVE</w:t>
      </w:r>
      <w:r w:rsidRPr="00531821">
        <w:rPr>
          <w:lang w:val="en-GB"/>
        </w:rPr>
        <w:t>.</w:t>
      </w:r>
    </w:p>
    <w:p w14:paraId="4F0FA49F" w14:textId="77777777" w:rsidR="00F37B76" w:rsidRPr="00F37B76" w:rsidRDefault="00D66C00" w:rsidP="00890E38">
      <w:pPr>
        <w:pStyle w:val="ListParagraph"/>
        <w:numPr>
          <w:ilvl w:val="0"/>
          <w:numId w:val="18"/>
        </w:numPr>
        <w:rPr>
          <w:lang w:val="en-GB"/>
        </w:rPr>
      </w:pPr>
      <w:r>
        <w:rPr>
          <w:lang w:val="en-GB"/>
        </w:rPr>
        <w:t>P</w:t>
      </w:r>
      <w:r w:rsidR="00F37B76" w:rsidRPr="00F37B76">
        <w:rPr>
          <w:lang w:val="en-GB"/>
        </w:rPr>
        <w:t>artner organisations at international level, in particular the</w:t>
      </w:r>
      <w:r w:rsidR="00F37B76">
        <w:rPr>
          <w:lang w:val="en-GB"/>
        </w:rPr>
        <w:t xml:space="preserve"> </w:t>
      </w:r>
      <w:r w:rsidR="00F37B76" w:rsidRPr="00F37B76">
        <w:rPr>
          <w:lang w:val="en-GB"/>
        </w:rPr>
        <w:t>WHO</w:t>
      </w:r>
      <w:r w:rsidR="00C2550A">
        <w:rPr>
          <w:lang w:val="en-GB"/>
        </w:rPr>
        <w:t xml:space="preserve"> Regional Office for Europe, in particular its European Health Information Initiative,</w:t>
      </w:r>
      <w:r w:rsidR="00F37B76" w:rsidRPr="00F37B76">
        <w:rPr>
          <w:lang w:val="en-GB"/>
        </w:rPr>
        <w:t xml:space="preserve"> and the OECD;</w:t>
      </w:r>
    </w:p>
    <w:p w14:paraId="262B3C22" w14:textId="77777777" w:rsidR="00F37B76" w:rsidRPr="00F37B76" w:rsidRDefault="00D66C00" w:rsidP="00890E38">
      <w:pPr>
        <w:pStyle w:val="ListParagraph"/>
        <w:numPr>
          <w:ilvl w:val="0"/>
          <w:numId w:val="18"/>
        </w:numPr>
        <w:rPr>
          <w:lang w:val="en-GB"/>
        </w:rPr>
      </w:pPr>
      <w:r>
        <w:rPr>
          <w:lang w:val="en-GB"/>
        </w:rPr>
        <w:t>M</w:t>
      </w:r>
      <w:r w:rsidR="00F37B76" w:rsidRPr="00F37B76">
        <w:rPr>
          <w:lang w:val="en-GB"/>
        </w:rPr>
        <w:t>embers of the other European Institutions with an interest in</w:t>
      </w:r>
      <w:r w:rsidR="00F37B76">
        <w:rPr>
          <w:lang w:val="en-GB"/>
        </w:rPr>
        <w:t xml:space="preserve"> </w:t>
      </w:r>
      <w:r w:rsidR="00F37B76" w:rsidRPr="00F37B76">
        <w:rPr>
          <w:lang w:val="en-GB"/>
        </w:rPr>
        <w:t>health information;</w:t>
      </w:r>
    </w:p>
    <w:p w14:paraId="63AEAC0E" w14:textId="70F158D0" w:rsidR="00F37B76" w:rsidRPr="00F37B76" w:rsidRDefault="00D66C00" w:rsidP="00890E38">
      <w:pPr>
        <w:pStyle w:val="ListParagraph"/>
        <w:numPr>
          <w:ilvl w:val="0"/>
          <w:numId w:val="18"/>
        </w:numPr>
        <w:rPr>
          <w:lang w:val="en-GB"/>
        </w:rPr>
      </w:pPr>
      <w:r>
        <w:rPr>
          <w:lang w:val="en-GB"/>
        </w:rPr>
        <w:t>S</w:t>
      </w:r>
      <w:r w:rsidR="00F37B76" w:rsidRPr="00F37B76">
        <w:rPr>
          <w:lang w:val="en-GB"/>
        </w:rPr>
        <w:t>takeholders in health information within Member States</w:t>
      </w:r>
      <w:r w:rsidR="00531821">
        <w:rPr>
          <w:lang w:val="en-GB"/>
        </w:rPr>
        <w:t xml:space="preserve"> or associated countries</w:t>
      </w:r>
      <w:r w:rsidR="00F37B76" w:rsidRPr="00F37B76">
        <w:rPr>
          <w:lang w:val="en-GB"/>
        </w:rPr>
        <w:t xml:space="preserve">, such as </w:t>
      </w:r>
      <w:r w:rsidR="00BB7EF1">
        <w:rPr>
          <w:lang w:val="en-GB"/>
        </w:rPr>
        <w:t xml:space="preserve">governmental institutions or agencies, </w:t>
      </w:r>
      <w:r w:rsidR="00F37B76" w:rsidRPr="00F37B76">
        <w:rPr>
          <w:lang w:val="en-GB"/>
        </w:rPr>
        <w:t xml:space="preserve">regions, </w:t>
      </w:r>
      <w:r w:rsidR="00F37B76">
        <w:rPr>
          <w:lang w:val="en-GB"/>
        </w:rPr>
        <w:t>research</w:t>
      </w:r>
      <w:r w:rsidR="00BB7EF1">
        <w:rPr>
          <w:lang w:val="en-GB"/>
        </w:rPr>
        <w:t xml:space="preserve"> institutions, universities</w:t>
      </w:r>
      <w:r w:rsidR="00F37B76">
        <w:rPr>
          <w:lang w:val="en-GB"/>
        </w:rPr>
        <w:t xml:space="preserve">, </w:t>
      </w:r>
      <w:r w:rsidR="00F37B76" w:rsidRPr="00F37B76">
        <w:rPr>
          <w:lang w:val="en-GB"/>
        </w:rPr>
        <w:t>health professionals and their professional bodies,</w:t>
      </w:r>
      <w:r w:rsidR="00F37B76">
        <w:rPr>
          <w:lang w:val="en-GB"/>
        </w:rPr>
        <w:t xml:space="preserve"> </w:t>
      </w:r>
      <w:r w:rsidR="00F37B76" w:rsidRPr="00F37B76">
        <w:rPr>
          <w:lang w:val="en-GB"/>
        </w:rPr>
        <w:t>healthcare purchasers and providers, and patients’ organisations;</w:t>
      </w:r>
    </w:p>
    <w:p w14:paraId="3F0B8EC5" w14:textId="0E2878C0" w:rsidR="00602C4E" w:rsidRPr="00602C4E" w:rsidRDefault="00D66C00" w:rsidP="00890E38">
      <w:pPr>
        <w:pStyle w:val="ListParagraph"/>
        <w:numPr>
          <w:ilvl w:val="0"/>
          <w:numId w:val="18"/>
        </w:numPr>
        <w:rPr>
          <w:lang w:val="en-GB"/>
        </w:rPr>
      </w:pPr>
      <w:r>
        <w:rPr>
          <w:lang w:val="en-GB"/>
        </w:rPr>
        <w:t>E</w:t>
      </w:r>
      <w:r w:rsidR="00F37B76" w:rsidRPr="00531821">
        <w:rPr>
          <w:lang w:val="en-GB"/>
        </w:rPr>
        <w:t>xpert orga</w:t>
      </w:r>
      <w:r w:rsidR="00531821">
        <w:rPr>
          <w:lang w:val="en-GB"/>
        </w:rPr>
        <w:t xml:space="preserve">nisations such as universities, research </w:t>
      </w:r>
      <w:r w:rsidR="00F37B76" w:rsidRPr="00531821">
        <w:rPr>
          <w:lang w:val="en-GB"/>
        </w:rPr>
        <w:t>and health</w:t>
      </w:r>
      <w:r w:rsidR="00531821">
        <w:rPr>
          <w:lang w:val="en-GB"/>
        </w:rPr>
        <w:t xml:space="preserve"> </w:t>
      </w:r>
      <w:r w:rsidR="00F37B76" w:rsidRPr="00531821">
        <w:rPr>
          <w:lang w:val="en-GB"/>
        </w:rPr>
        <w:t xml:space="preserve">institutes within </w:t>
      </w:r>
      <w:r w:rsidR="00F54C20">
        <w:rPr>
          <w:lang w:val="en-GB"/>
        </w:rPr>
        <w:t>EU countries</w:t>
      </w:r>
      <w:r w:rsidR="00F37B76" w:rsidRPr="00531821">
        <w:rPr>
          <w:lang w:val="en-GB"/>
        </w:rPr>
        <w:t xml:space="preserve"> and at European level;</w:t>
      </w:r>
    </w:p>
    <w:p w14:paraId="3970F4CF" w14:textId="77777777" w:rsidR="00B23A4C" w:rsidRDefault="00B23A4C" w:rsidP="00357FF6">
      <w:pPr>
        <w:spacing w:before="240"/>
        <w:rPr>
          <w:lang w:val="en-GB"/>
        </w:rPr>
      </w:pPr>
      <w:r>
        <w:rPr>
          <w:lang w:val="en-GB"/>
        </w:rPr>
        <w:t>Services:</w:t>
      </w:r>
    </w:p>
    <w:p w14:paraId="3D6C697D" w14:textId="77777777" w:rsidR="00020DBB" w:rsidRDefault="00D66C00" w:rsidP="00890E38">
      <w:pPr>
        <w:pStyle w:val="ListParagraph"/>
        <w:numPr>
          <w:ilvl w:val="0"/>
          <w:numId w:val="14"/>
        </w:numPr>
        <w:rPr>
          <w:lang w:val="en-GB"/>
        </w:rPr>
      </w:pPr>
      <w:r>
        <w:rPr>
          <w:lang w:val="en-GB"/>
        </w:rPr>
        <w:t>Provide a forum for regular interaction of</w:t>
      </w:r>
      <w:r w:rsidR="004637C9">
        <w:rPr>
          <w:lang w:val="en-GB"/>
        </w:rPr>
        <w:t xml:space="preserve"> relevant actors in h</w:t>
      </w:r>
      <w:r w:rsidR="00020DBB">
        <w:rPr>
          <w:lang w:val="en-GB"/>
        </w:rPr>
        <w:t xml:space="preserve">ealth information across </w:t>
      </w:r>
      <w:r w:rsidR="00CC681B">
        <w:rPr>
          <w:lang w:val="en-GB"/>
        </w:rPr>
        <w:t>the EU</w:t>
      </w:r>
      <w:r w:rsidR="00020DBB">
        <w:rPr>
          <w:lang w:val="en-GB"/>
        </w:rPr>
        <w:t>;</w:t>
      </w:r>
    </w:p>
    <w:p w14:paraId="0317B469" w14:textId="77777777" w:rsidR="004637C9" w:rsidRPr="00020DBB" w:rsidRDefault="00020DBB" w:rsidP="00890E38">
      <w:pPr>
        <w:pStyle w:val="ListParagraph"/>
        <w:numPr>
          <w:ilvl w:val="0"/>
          <w:numId w:val="14"/>
        </w:numPr>
        <w:rPr>
          <w:lang w:val="en-GB"/>
        </w:rPr>
      </w:pPr>
      <w:r>
        <w:rPr>
          <w:lang w:val="en-GB"/>
        </w:rPr>
        <w:t xml:space="preserve">Facilitate international cooperation and collaboration in health information; </w:t>
      </w:r>
      <w:r w:rsidR="004637C9" w:rsidRPr="00020DBB">
        <w:rPr>
          <w:lang w:val="en-GB"/>
        </w:rPr>
        <w:t xml:space="preserve"> </w:t>
      </w:r>
    </w:p>
    <w:p w14:paraId="3F70C502" w14:textId="77777777" w:rsidR="00D66C00" w:rsidRDefault="00D66C00" w:rsidP="00890E38">
      <w:pPr>
        <w:pStyle w:val="ListParagraph"/>
        <w:numPr>
          <w:ilvl w:val="0"/>
          <w:numId w:val="14"/>
        </w:numPr>
        <w:rPr>
          <w:lang w:val="en-GB"/>
        </w:rPr>
      </w:pPr>
      <w:r>
        <w:rPr>
          <w:lang w:val="en-GB"/>
        </w:rPr>
        <w:t>Provide an overview of activities in health information in the EU;</w:t>
      </w:r>
    </w:p>
    <w:p w14:paraId="6442C5A7" w14:textId="77777777" w:rsidR="006370D6" w:rsidRDefault="00D66C00" w:rsidP="00890E38">
      <w:pPr>
        <w:pStyle w:val="ListParagraph"/>
        <w:numPr>
          <w:ilvl w:val="0"/>
          <w:numId w:val="14"/>
        </w:numPr>
        <w:spacing w:after="240"/>
        <w:rPr>
          <w:lang w:val="en-GB"/>
        </w:rPr>
      </w:pPr>
      <w:r>
        <w:rPr>
          <w:lang w:val="en-GB"/>
        </w:rPr>
        <w:t xml:space="preserve">Provide an interface for bottom-up </w:t>
      </w:r>
      <w:r w:rsidR="00104901">
        <w:rPr>
          <w:lang w:val="en-GB"/>
        </w:rPr>
        <w:t xml:space="preserve">responses </w:t>
      </w:r>
      <w:r>
        <w:rPr>
          <w:lang w:val="en-GB"/>
        </w:rPr>
        <w:t xml:space="preserve">to current </w:t>
      </w:r>
      <w:r w:rsidR="00104901">
        <w:rPr>
          <w:lang w:val="en-GB"/>
        </w:rPr>
        <w:t xml:space="preserve">issues and </w:t>
      </w:r>
      <w:r>
        <w:rPr>
          <w:lang w:val="en-GB"/>
        </w:rPr>
        <w:t xml:space="preserve">needs </w:t>
      </w:r>
      <w:r w:rsidR="00104901">
        <w:rPr>
          <w:lang w:val="en-GB"/>
        </w:rPr>
        <w:t>in health information</w:t>
      </w:r>
      <w:r w:rsidR="00EA0420">
        <w:rPr>
          <w:lang w:val="en-GB"/>
        </w:rPr>
        <w:t>.</w:t>
      </w:r>
    </w:p>
    <w:p w14:paraId="70A58609" w14:textId="77777777" w:rsidR="00EA0420" w:rsidRPr="002E3DAD" w:rsidRDefault="00EA0420" w:rsidP="002E3DAD">
      <w:pPr>
        <w:pStyle w:val="Heading2"/>
        <w:spacing w:after="120" w:line="288" w:lineRule="auto"/>
        <w:ind w:left="576" w:hanging="576"/>
        <w:rPr>
          <w:lang w:val="en-GB"/>
        </w:rPr>
      </w:pPr>
      <w:bookmarkStart w:id="17" w:name="_Toc469063803"/>
      <w:r w:rsidRPr="002E3DAD">
        <w:rPr>
          <w:lang w:val="en-GB"/>
        </w:rPr>
        <w:t>Phased approach</w:t>
      </w:r>
      <w:bookmarkEnd w:id="17"/>
    </w:p>
    <w:p w14:paraId="1913F677" w14:textId="2AD1B474" w:rsidR="00EA0420" w:rsidRDefault="00EA0420" w:rsidP="002E3DAD">
      <w:pPr>
        <w:rPr>
          <w:lang w:val="en-GB"/>
        </w:rPr>
      </w:pPr>
      <w:r>
        <w:rPr>
          <w:lang w:val="en-GB"/>
        </w:rPr>
        <w:t xml:space="preserve">A phased approach will be used for the implementation of the </w:t>
      </w:r>
      <w:r w:rsidR="003A6FD0">
        <w:rPr>
          <w:lang w:val="en-GB"/>
        </w:rPr>
        <w:t>HIREP-</w:t>
      </w:r>
      <w:r>
        <w:rPr>
          <w:lang w:val="en-GB"/>
        </w:rPr>
        <w:t xml:space="preserve">ERIC. </w:t>
      </w:r>
      <w:r w:rsidR="00B72C5D">
        <w:rPr>
          <w:lang w:val="en-GB"/>
        </w:rPr>
        <w:t xml:space="preserve">This will allow </w:t>
      </w:r>
      <w:proofErr w:type="gramStart"/>
      <w:r w:rsidR="00B72C5D">
        <w:rPr>
          <w:lang w:val="en-GB"/>
        </w:rPr>
        <w:t>to scale up the activities and ensure</w:t>
      </w:r>
      <w:proofErr w:type="gramEnd"/>
      <w:r w:rsidR="00B72C5D">
        <w:rPr>
          <w:lang w:val="en-GB"/>
        </w:rPr>
        <w:t xml:space="preserve"> a solid foundation. The phases will be split in three terms: </w:t>
      </w:r>
      <w:r w:rsidR="00B72C5D" w:rsidRPr="00B72C5D">
        <w:rPr>
          <w:lang w:val="en-GB"/>
        </w:rPr>
        <w:t>the short term (0-3 years), medium term (3-5 years), and long term (5+ years)</w:t>
      </w:r>
      <w:r w:rsidR="00B72C5D">
        <w:rPr>
          <w:lang w:val="en-GB"/>
        </w:rPr>
        <w:t>.</w:t>
      </w:r>
    </w:p>
    <w:p w14:paraId="2DE2FBFD" w14:textId="4A047F76" w:rsidR="00B72C5D" w:rsidRDefault="00B72C5D" w:rsidP="002E3DAD">
      <w:pPr>
        <w:rPr>
          <w:lang w:val="en-GB"/>
        </w:rPr>
      </w:pPr>
      <w:r>
        <w:rPr>
          <w:lang w:val="en-GB"/>
        </w:rPr>
        <w:t>For the short term (0-3) years, the</w:t>
      </w:r>
      <w:r w:rsidR="004C0E74">
        <w:rPr>
          <w:lang w:val="en-GB"/>
        </w:rPr>
        <w:t xml:space="preserve"> </w:t>
      </w:r>
      <w:r w:rsidR="003A6FD0">
        <w:rPr>
          <w:lang w:val="en-GB"/>
        </w:rPr>
        <w:t>HIREP-</w:t>
      </w:r>
      <w:r w:rsidR="004C0E74">
        <w:rPr>
          <w:lang w:val="en-GB"/>
        </w:rPr>
        <w:t>ERIC</w:t>
      </w:r>
      <w:r>
        <w:rPr>
          <w:lang w:val="en-GB"/>
        </w:rPr>
        <w:t xml:space="preserve"> focus</w:t>
      </w:r>
      <w:r w:rsidR="004C0E74">
        <w:rPr>
          <w:lang w:val="en-GB"/>
        </w:rPr>
        <w:t>es</w:t>
      </w:r>
      <w:r>
        <w:rPr>
          <w:lang w:val="en-GB"/>
        </w:rPr>
        <w:t xml:space="preserve"> on the following activities.</w:t>
      </w:r>
    </w:p>
    <w:p w14:paraId="77E9DAB2" w14:textId="58321405" w:rsidR="00EE60F7" w:rsidRDefault="00EE60F7" w:rsidP="00890E38">
      <w:pPr>
        <w:pStyle w:val="ListParagraph"/>
        <w:numPr>
          <w:ilvl w:val="0"/>
          <w:numId w:val="29"/>
        </w:numPr>
        <w:contextualSpacing/>
        <w:rPr>
          <w:lang w:val="en-GB"/>
        </w:rPr>
      </w:pPr>
      <w:r w:rsidRPr="004F4B04">
        <w:rPr>
          <w:lang w:val="en-GB"/>
        </w:rPr>
        <w:lastRenderedPageBreak/>
        <w:t xml:space="preserve">Map the existing </w:t>
      </w:r>
      <w:r w:rsidR="00D005D9" w:rsidRPr="004F4B04">
        <w:rPr>
          <w:lang w:val="en-GB"/>
        </w:rPr>
        <w:t xml:space="preserve">entities </w:t>
      </w:r>
      <w:r w:rsidR="00F6421F">
        <w:rPr>
          <w:lang w:val="en-GB"/>
        </w:rPr>
        <w:t xml:space="preserve">producing </w:t>
      </w:r>
      <w:r w:rsidRPr="004F4B04">
        <w:rPr>
          <w:lang w:val="en-GB"/>
        </w:rPr>
        <w:t>health information</w:t>
      </w:r>
      <w:r w:rsidR="00F6421F">
        <w:rPr>
          <w:lang w:val="en-GB"/>
        </w:rPr>
        <w:t xml:space="preserve">, and/or contributing to the production of health information </w:t>
      </w:r>
    </w:p>
    <w:p w14:paraId="68218280" w14:textId="77777777" w:rsidR="0033336A" w:rsidRDefault="0033336A" w:rsidP="0033336A">
      <w:pPr>
        <w:pStyle w:val="ListParagraph"/>
        <w:numPr>
          <w:ilvl w:val="1"/>
          <w:numId w:val="29"/>
        </w:numPr>
        <w:spacing w:after="240"/>
        <w:contextualSpacing/>
        <w:rPr>
          <w:lang w:val="en-GB"/>
        </w:rPr>
      </w:pPr>
      <w:r>
        <w:rPr>
          <w:lang w:val="en-GB"/>
        </w:rPr>
        <w:t xml:space="preserve">Periodically report on the state of health information </w:t>
      </w:r>
    </w:p>
    <w:p w14:paraId="3ADA6A01" w14:textId="705902E7" w:rsidR="0033336A" w:rsidRPr="007503C7" w:rsidRDefault="0033336A" w:rsidP="007503C7">
      <w:pPr>
        <w:pStyle w:val="ListParagraph"/>
        <w:numPr>
          <w:ilvl w:val="1"/>
          <w:numId w:val="29"/>
        </w:numPr>
        <w:spacing w:after="240"/>
        <w:contextualSpacing/>
        <w:rPr>
          <w:lang w:val="en-GB"/>
        </w:rPr>
      </w:pPr>
      <w:r w:rsidRPr="007503C7">
        <w:rPr>
          <w:lang w:val="en-GB"/>
        </w:rPr>
        <w:t xml:space="preserve">Provide in depth reports on specific topics upon request </w:t>
      </w:r>
    </w:p>
    <w:p w14:paraId="6177CAEF" w14:textId="378195D7" w:rsidR="00EE60F7" w:rsidRDefault="00EE60F7" w:rsidP="00890E38">
      <w:pPr>
        <w:pStyle w:val="ListParagraph"/>
        <w:numPr>
          <w:ilvl w:val="0"/>
          <w:numId w:val="29"/>
        </w:numPr>
        <w:contextualSpacing/>
        <w:rPr>
          <w:lang w:val="en-GB"/>
        </w:rPr>
      </w:pPr>
      <w:r w:rsidRPr="004F4B04">
        <w:rPr>
          <w:lang w:val="en-GB"/>
        </w:rPr>
        <w:t xml:space="preserve">Develop a prioritisation method for the uptake of </w:t>
      </w:r>
      <w:r w:rsidR="00D602DF">
        <w:rPr>
          <w:lang w:val="en-GB"/>
        </w:rPr>
        <w:t>research networks</w:t>
      </w:r>
      <w:r w:rsidRPr="004F4B04">
        <w:rPr>
          <w:lang w:val="en-GB"/>
        </w:rPr>
        <w:t xml:space="preserve"> in the ERIC</w:t>
      </w:r>
    </w:p>
    <w:p w14:paraId="4BB11ECC" w14:textId="77777777" w:rsidR="004F4B04" w:rsidRDefault="004F4B04" w:rsidP="00890E38">
      <w:pPr>
        <w:pStyle w:val="ListParagraph"/>
        <w:numPr>
          <w:ilvl w:val="0"/>
          <w:numId w:val="29"/>
        </w:numPr>
        <w:spacing w:after="240"/>
        <w:contextualSpacing/>
        <w:rPr>
          <w:lang w:val="en-GB"/>
        </w:rPr>
      </w:pPr>
      <w:r>
        <w:rPr>
          <w:lang w:val="en-GB"/>
        </w:rPr>
        <w:t>Provide a continuous set of core services to the members of the ERIC</w:t>
      </w:r>
    </w:p>
    <w:p w14:paraId="64F74822" w14:textId="77777777" w:rsidR="004F4B04" w:rsidRDefault="004F4B04" w:rsidP="00890E38">
      <w:pPr>
        <w:pStyle w:val="ListParagraph"/>
        <w:numPr>
          <w:ilvl w:val="1"/>
          <w:numId w:val="30"/>
        </w:numPr>
        <w:spacing w:after="240"/>
        <w:contextualSpacing/>
        <w:rPr>
          <w:lang w:val="en-GB"/>
        </w:rPr>
      </w:pPr>
      <w:r>
        <w:rPr>
          <w:lang w:val="en-GB"/>
        </w:rPr>
        <w:t>Provide technical support</w:t>
      </w:r>
      <w:r w:rsidR="00516ED9">
        <w:rPr>
          <w:lang w:val="en-GB"/>
        </w:rPr>
        <w:t xml:space="preserve"> for members </w:t>
      </w:r>
    </w:p>
    <w:p w14:paraId="7D9719E3" w14:textId="77777777" w:rsidR="00516ED9" w:rsidRDefault="00516ED9" w:rsidP="00890E38">
      <w:pPr>
        <w:pStyle w:val="ListParagraph"/>
        <w:numPr>
          <w:ilvl w:val="1"/>
          <w:numId w:val="30"/>
        </w:numPr>
        <w:spacing w:after="240"/>
        <w:contextualSpacing/>
        <w:rPr>
          <w:lang w:val="en-GB"/>
        </w:rPr>
      </w:pPr>
      <w:r>
        <w:rPr>
          <w:lang w:val="en-GB"/>
        </w:rPr>
        <w:t xml:space="preserve">Provide expertise on a wide range of health information activities </w:t>
      </w:r>
      <w:r w:rsidR="004C0E74">
        <w:rPr>
          <w:lang w:val="en-GB"/>
        </w:rPr>
        <w:t xml:space="preserve">only available through ERIC due to its far reaching network of networks </w:t>
      </w:r>
    </w:p>
    <w:p w14:paraId="2BCE857D" w14:textId="77777777" w:rsidR="00516ED9" w:rsidRDefault="00516ED9" w:rsidP="00890E38">
      <w:pPr>
        <w:pStyle w:val="ListParagraph"/>
        <w:numPr>
          <w:ilvl w:val="1"/>
          <w:numId w:val="30"/>
        </w:numPr>
        <w:spacing w:after="240"/>
        <w:contextualSpacing/>
        <w:rPr>
          <w:lang w:val="en-GB"/>
        </w:rPr>
      </w:pPr>
      <w:r>
        <w:rPr>
          <w:lang w:val="en-GB"/>
        </w:rPr>
        <w:t xml:space="preserve">Guide researchers </w:t>
      </w:r>
      <w:r w:rsidR="009E51B8">
        <w:rPr>
          <w:lang w:val="en-GB"/>
        </w:rPr>
        <w:t xml:space="preserve">and policy makers </w:t>
      </w:r>
      <w:r>
        <w:rPr>
          <w:lang w:val="en-GB"/>
        </w:rPr>
        <w:t xml:space="preserve">to requested health information </w:t>
      </w:r>
    </w:p>
    <w:p w14:paraId="2CE3DE02" w14:textId="77777777" w:rsidR="00516ED9" w:rsidRDefault="00516ED9" w:rsidP="00890E38">
      <w:pPr>
        <w:pStyle w:val="ListParagraph"/>
        <w:numPr>
          <w:ilvl w:val="1"/>
          <w:numId w:val="30"/>
        </w:numPr>
        <w:spacing w:after="240"/>
        <w:contextualSpacing/>
        <w:rPr>
          <w:lang w:val="en-GB"/>
        </w:rPr>
      </w:pPr>
      <w:r>
        <w:rPr>
          <w:lang w:val="en-GB"/>
        </w:rPr>
        <w:t xml:space="preserve">Carry out forecast and horizon scanning activities </w:t>
      </w:r>
      <w:r w:rsidR="009E51B8">
        <w:rPr>
          <w:lang w:val="en-GB"/>
        </w:rPr>
        <w:t>to support agenda setting</w:t>
      </w:r>
    </w:p>
    <w:p w14:paraId="3CC8C526" w14:textId="77777777" w:rsidR="00516ED9" w:rsidRDefault="009E51B8" w:rsidP="00890E38">
      <w:pPr>
        <w:pStyle w:val="ListParagraph"/>
        <w:numPr>
          <w:ilvl w:val="1"/>
          <w:numId w:val="30"/>
        </w:numPr>
        <w:spacing w:after="240"/>
        <w:contextualSpacing/>
        <w:rPr>
          <w:lang w:val="en-GB"/>
        </w:rPr>
      </w:pPr>
      <w:r>
        <w:rPr>
          <w:lang w:val="en-GB"/>
        </w:rPr>
        <w:t>Organise annual conference with relevant health information stakeholder</w:t>
      </w:r>
    </w:p>
    <w:p w14:paraId="7D401526" w14:textId="1DABE7B5" w:rsidR="009E51B8" w:rsidRDefault="009E51B8" w:rsidP="00890E38">
      <w:pPr>
        <w:pStyle w:val="ListParagraph"/>
        <w:numPr>
          <w:ilvl w:val="1"/>
          <w:numId w:val="30"/>
        </w:numPr>
        <w:spacing w:after="240"/>
        <w:contextualSpacing/>
        <w:rPr>
          <w:lang w:val="en-GB"/>
        </w:rPr>
      </w:pPr>
      <w:r>
        <w:rPr>
          <w:lang w:val="en-GB"/>
        </w:rPr>
        <w:t xml:space="preserve">Enhance national </w:t>
      </w:r>
      <w:r w:rsidR="00682B9D">
        <w:rPr>
          <w:lang w:val="en-GB"/>
        </w:rPr>
        <w:t xml:space="preserve">health information </w:t>
      </w:r>
      <w:r w:rsidR="00546C2B">
        <w:rPr>
          <w:lang w:val="en-GB"/>
        </w:rPr>
        <w:t xml:space="preserve">and research </w:t>
      </w:r>
      <w:r>
        <w:rPr>
          <w:lang w:val="en-GB"/>
        </w:rPr>
        <w:t xml:space="preserve">capacity through sharing know-how and </w:t>
      </w:r>
      <w:r w:rsidR="000C0854">
        <w:rPr>
          <w:lang w:val="en-GB"/>
        </w:rPr>
        <w:t xml:space="preserve">setting up a first cohort within a </w:t>
      </w:r>
      <w:r>
        <w:rPr>
          <w:lang w:val="en-GB"/>
        </w:rPr>
        <w:t>training programs</w:t>
      </w:r>
    </w:p>
    <w:p w14:paraId="1E78448C" w14:textId="7A12D83F" w:rsidR="009E51B8" w:rsidRDefault="009E51B8" w:rsidP="00890E38">
      <w:pPr>
        <w:pStyle w:val="ListParagraph"/>
        <w:numPr>
          <w:ilvl w:val="1"/>
          <w:numId w:val="30"/>
        </w:numPr>
        <w:spacing w:after="240"/>
        <w:contextualSpacing/>
        <w:rPr>
          <w:lang w:val="en-GB"/>
        </w:rPr>
      </w:pPr>
      <w:r>
        <w:rPr>
          <w:lang w:val="en-GB"/>
        </w:rPr>
        <w:t>Assist members to obtain funding for health information activities</w:t>
      </w:r>
      <w:r w:rsidR="00F6421F">
        <w:rPr>
          <w:lang w:val="en-GB"/>
        </w:rPr>
        <w:t>,</w:t>
      </w:r>
      <w:r w:rsidR="004C0E74">
        <w:rPr>
          <w:lang w:val="en-GB"/>
        </w:rPr>
        <w:t xml:space="preserve"> to which the ERIC will have better access</w:t>
      </w:r>
    </w:p>
    <w:p w14:paraId="06EA7E83" w14:textId="77777777" w:rsidR="009E51B8" w:rsidRDefault="009E51B8" w:rsidP="00890E38">
      <w:pPr>
        <w:pStyle w:val="ListParagraph"/>
        <w:numPr>
          <w:ilvl w:val="1"/>
          <w:numId w:val="30"/>
        </w:numPr>
        <w:spacing w:after="240"/>
        <w:contextualSpacing/>
        <w:rPr>
          <w:lang w:val="en-GB"/>
        </w:rPr>
      </w:pPr>
      <w:r>
        <w:rPr>
          <w:lang w:val="en-GB"/>
        </w:rPr>
        <w:t>Liaise with international organisations whilst representing members interest</w:t>
      </w:r>
    </w:p>
    <w:p w14:paraId="6D041E49" w14:textId="77777777" w:rsidR="009E51B8" w:rsidRDefault="009E51B8" w:rsidP="00890E38">
      <w:pPr>
        <w:pStyle w:val="ListParagraph"/>
        <w:numPr>
          <w:ilvl w:val="1"/>
          <w:numId w:val="30"/>
        </w:numPr>
        <w:spacing w:after="240"/>
        <w:contextualSpacing/>
        <w:rPr>
          <w:lang w:val="en-GB"/>
        </w:rPr>
      </w:pPr>
      <w:r>
        <w:rPr>
          <w:lang w:val="en-GB"/>
        </w:rPr>
        <w:t xml:space="preserve">Increase visibility of national </w:t>
      </w:r>
      <w:r w:rsidR="004C0E74">
        <w:rPr>
          <w:lang w:val="en-GB"/>
        </w:rPr>
        <w:t>health information activities through dissemination of reports and papers</w:t>
      </w:r>
    </w:p>
    <w:p w14:paraId="31539DB7" w14:textId="6FD63B16" w:rsidR="0033336A" w:rsidRDefault="0033336A" w:rsidP="00890E38">
      <w:pPr>
        <w:pStyle w:val="ListParagraph"/>
        <w:numPr>
          <w:ilvl w:val="1"/>
          <w:numId w:val="30"/>
        </w:numPr>
        <w:spacing w:after="240"/>
        <w:contextualSpacing/>
        <w:rPr>
          <w:lang w:val="en-GB"/>
        </w:rPr>
      </w:pPr>
      <w:r>
        <w:rPr>
          <w:lang w:val="en-GB"/>
        </w:rPr>
        <w:t>Set-up virtual repository for policy briefs</w:t>
      </w:r>
    </w:p>
    <w:p w14:paraId="520AC749" w14:textId="3642E8B7" w:rsidR="004C0E74" w:rsidRDefault="004C0E74" w:rsidP="004F4B04">
      <w:pPr>
        <w:rPr>
          <w:lang w:val="en-GB"/>
        </w:rPr>
      </w:pPr>
      <w:r>
        <w:rPr>
          <w:lang w:val="en-GB"/>
        </w:rPr>
        <w:t xml:space="preserve">The areas of support can be further developed based on the continuation of activities in </w:t>
      </w:r>
      <w:r w:rsidR="0033336A">
        <w:rPr>
          <w:lang w:val="en-GB"/>
        </w:rPr>
        <w:t>EU projects within the domain specific nodes</w:t>
      </w:r>
      <w:r>
        <w:rPr>
          <w:lang w:val="en-GB"/>
        </w:rPr>
        <w:t>. However, prioritisation in the uptake of EU projects in the ERIC will further define the areas of support.</w:t>
      </w:r>
    </w:p>
    <w:p w14:paraId="72D89F17" w14:textId="1512E703" w:rsidR="00961E87" w:rsidRPr="002E3DAD" w:rsidRDefault="004B5A67" w:rsidP="002E3DAD">
      <w:pPr>
        <w:pStyle w:val="Heading2"/>
        <w:spacing w:after="120" w:line="288" w:lineRule="auto"/>
        <w:ind w:left="576" w:hanging="576"/>
        <w:rPr>
          <w:lang w:val="en-GB"/>
        </w:rPr>
      </w:pPr>
      <w:bookmarkStart w:id="18" w:name="_Toc469063804"/>
      <w:r w:rsidRPr="002E3DAD">
        <w:rPr>
          <w:lang w:val="en-GB"/>
        </w:rPr>
        <w:t xml:space="preserve">Economic </w:t>
      </w:r>
      <w:bookmarkEnd w:id="18"/>
      <w:r w:rsidR="00EE3C14">
        <w:rPr>
          <w:lang w:val="en-GB"/>
        </w:rPr>
        <w:t>model</w:t>
      </w:r>
      <w:r w:rsidR="00EE3C14" w:rsidRPr="002E3DAD">
        <w:rPr>
          <w:lang w:val="en-GB"/>
        </w:rPr>
        <w:t xml:space="preserve"> </w:t>
      </w:r>
    </w:p>
    <w:p w14:paraId="030D3160" w14:textId="77777777" w:rsidR="009E5859" w:rsidRDefault="00CF7AF4" w:rsidP="008C2702">
      <w:pPr>
        <w:rPr>
          <w:lang w:val="en-GB"/>
        </w:rPr>
      </w:pPr>
      <w:r>
        <w:rPr>
          <w:lang w:val="en-GB"/>
        </w:rPr>
        <w:t xml:space="preserve">The HIREP-ERIC will have three types of financial resources. The </w:t>
      </w:r>
      <w:r w:rsidR="002C11D6">
        <w:rPr>
          <w:lang w:val="en-GB"/>
        </w:rPr>
        <w:t>HIREP-ERIC will apply</w:t>
      </w:r>
      <w:r w:rsidR="00873920">
        <w:rPr>
          <w:lang w:val="en-GB"/>
        </w:rPr>
        <w:t xml:space="preserve"> for </w:t>
      </w:r>
      <w:r w:rsidR="006F10F0">
        <w:rPr>
          <w:lang w:val="en-GB"/>
        </w:rPr>
        <w:t xml:space="preserve">national, </w:t>
      </w:r>
      <w:r w:rsidR="00873920">
        <w:rPr>
          <w:lang w:val="en-GB"/>
        </w:rPr>
        <w:t xml:space="preserve">European and pan-European funding. </w:t>
      </w:r>
    </w:p>
    <w:p w14:paraId="18FDD4C0" w14:textId="1904C365" w:rsidR="009640AE" w:rsidRDefault="009640AE" w:rsidP="009640AE">
      <w:pPr>
        <w:rPr>
          <w:lang w:val="en-GB"/>
        </w:rPr>
      </w:pPr>
      <w:r>
        <w:rPr>
          <w:lang w:val="en-GB"/>
        </w:rPr>
        <w:t xml:space="preserve">Its first source of revenue will be the contribution provided by the members and observers of the HIREP-ERIC. A basic membership fee will be contributed that will ensure the operation of core activities of the HIREP-ERIC. Members will then have access to the services corresponding to the basic functions of the HIREP-ERIC. The basic membership fee is elaborated further in the statutes. </w:t>
      </w:r>
    </w:p>
    <w:p w14:paraId="76BEBB77" w14:textId="4E083795" w:rsidR="009E5859" w:rsidRDefault="009640AE" w:rsidP="008C2702">
      <w:pPr>
        <w:rPr>
          <w:lang w:val="en-GB"/>
        </w:rPr>
      </w:pPr>
      <w:r>
        <w:rPr>
          <w:lang w:val="en-GB"/>
        </w:rPr>
        <w:t>Secondly, i</w:t>
      </w:r>
      <w:r w:rsidR="00873920">
        <w:rPr>
          <w:lang w:val="en-GB"/>
        </w:rPr>
        <w:t>t will apply</w:t>
      </w:r>
      <w:r w:rsidR="00CF7AF4">
        <w:rPr>
          <w:lang w:val="en-GB"/>
        </w:rPr>
        <w:t xml:space="preserve"> to calls of the European Commission for projects </w:t>
      </w:r>
      <w:r>
        <w:rPr>
          <w:lang w:val="en-GB"/>
        </w:rPr>
        <w:t xml:space="preserve">that </w:t>
      </w:r>
      <w:r w:rsidR="00CF7AF4">
        <w:rPr>
          <w:lang w:val="en-GB"/>
        </w:rPr>
        <w:t xml:space="preserve">contribute to the implementation of an EU programme or policy such </w:t>
      </w:r>
      <w:r w:rsidR="00CF7AF4" w:rsidRPr="00CF7AF4">
        <w:rPr>
          <w:lang w:val="en-GB"/>
        </w:rPr>
        <w:t>as the Horizon 2020 programme, the public health action programmes, and any others</w:t>
      </w:r>
      <w:r w:rsidR="00D602DF">
        <w:rPr>
          <w:lang w:val="en-GB"/>
        </w:rPr>
        <w:t xml:space="preserve"> EU financial resources</w:t>
      </w:r>
      <w:r w:rsidR="00CF7AF4" w:rsidRPr="00CF7AF4">
        <w:rPr>
          <w:lang w:val="en-GB"/>
        </w:rPr>
        <w:t>.</w:t>
      </w:r>
      <w:r w:rsidR="00CF7AF4">
        <w:rPr>
          <w:lang w:val="en-GB"/>
        </w:rPr>
        <w:t xml:space="preserve"> </w:t>
      </w:r>
    </w:p>
    <w:p w14:paraId="7B5C1FE6" w14:textId="059A6BFE" w:rsidR="00FA0CF4" w:rsidRDefault="008C2702" w:rsidP="008C2702">
      <w:pPr>
        <w:rPr>
          <w:lang w:val="en-GB"/>
        </w:rPr>
      </w:pPr>
      <w:r>
        <w:rPr>
          <w:lang w:val="en-GB"/>
        </w:rPr>
        <w:t xml:space="preserve">Thirdly, additional services may be commissioned to the HIREP-ERIC. Fees will be requested to carry out those additional services. </w:t>
      </w:r>
    </w:p>
    <w:p w14:paraId="1840C626" w14:textId="77777777" w:rsidR="00171D3A" w:rsidRPr="00171D3A" w:rsidRDefault="003D5E67" w:rsidP="003D5E67">
      <w:pPr>
        <w:rPr>
          <w:color w:val="0000FF" w:themeColor="hyperlink"/>
          <w:u w:val="single"/>
          <w:lang w:val="nb-NO"/>
        </w:rPr>
      </w:pPr>
      <w:r>
        <w:rPr>
          <w:lang w:val="en-GB"/>
        </w:rPr>
        <w:t xml:space="preserve">The </w:t>
      </w:r>
      <w:r w:rsidR="00890E38">
        <w:rPr>
          <w:lang w:val="en-GB"/>
        </w:rPr>
        <w:t>member’s</w:t>
      </w:r>
      <w:r w:rsidR="00AD0B4E">
        <w:rPr>
          <w:lang w:val="en-GB"/>
        </w:rPr>
        <w:t xml:space="preserve"> contributions are</w:t>
      </w:r>
      <w:r>
        <w:rPr>
          <w:lang w:val="en-GB"/>
        </w:rPr>
        <w:t xml:space="preserve"> being developed</w:t>
      </w:r>
      <w:r w:rsidR="00AD0B4E">
        <w:rPr>
          <w:lang w:val="en-GB"/>
        </w:rPr>
        <w:t xml:space="preserve"> and discussed</w:t>
      </w:r>
      <w:r>
        <w:rPr>
          <w:lang w:val="en-GB"/>
        </w:rPr>
        <w:t>.</w:t>
      </w:r>
    </w:p>
    <w:p w14:paraId="07FE6292" w14:textId="77777777" w:rsidR="00587EB1" w:rsidRPr="002E3DAD" w:rsidRDefault="001857F4" w:rsidP="002E3DAD">
      <w:pPr>
        <w:pStyle w:val="Heading2"/>
        <w:spacing w:after="120" w:line="288" w:lineRule="auto"/>
        <w:ind w:left="576" w:hanging="576"/>
        <w:rPr>
          <w:lang w:val="en-GB"/>
        </w:rPr>
      </w:pPr>
      <w:bookmarkStart w:id="19" w:name="_Toc459388351"/>
      <w:bookmarkStart w:id="20" w:name="_Toc469063805"/>
      <w:r w:rsidRPr="002E3DAD">
        <w:rPr>
          <w:lang w:val="en-GB"/>
        </w:rPr>
        <w:t>G</w:t>
      </w:r>
      <w:r w:rsidR="00587EB1" w:rsidRPr="002E3DAD">
        <w:rPr>
          <w:lang w:val="en-GB"/>
        </w:rPr>
        <w:t>overnance of the HIREP-ERIC</w:t>
      </w:r>
      <w:bookmarkEnd w:id="19"/>
      <w:bookmarkEnd w:id="20"/>
    </w:p>
    <w:p w14:paraId="45182872" w14:textId="2C492BD1" w:rsidR="00587EB1" w:rsidRDefault="00587EB1" w:rsidP="00587EB1">
      <w:pPr>
        <w:spacing w:after="0"/>
        <w:rPr>
          <w:lang w:val="en-GB"/>
        </w:rPr>
      </w:pPr>
      <w:r w:rsidRPr="00D87086">
        <w:rPr>
          <w:lang w:val="en-GB"/>
        </w:rPr>
        <w:t>The</w:t>
      </w:r>
      <w:r w:rsidRPr="004C7100">
        <w:rPr>
          <w:lang w:val="en-GB"/>
        </w:rPr>
        <w:t xml:space="preserve"> </w:t>
      </w:r>
      <w:r w:rsidRPr="00D87086">
        <w:rPr>
          <w:lang w:val="en-GB"/>
        </w:rPr>
        <w:t>governance structure of the</w:t>
      </w:r>
      <w:r w:rsidR="000201E7" w:rsidRPr="004B3D92">
        <w:rPr>
          <w:lang w:val="en-GB"/>
        </w:rPr>
        <w:t xml:space="preserve"> HIREP-ERIC is shown in Figure 5</w:t>
      </w:r>
      <w:r w:rsidRPr="004B3D92">
        <w:rPr>
          <w:lang w:val="en-GB"/>
        </w:rPr>
        <w:t xml:space="preserve"> and is composed of an Assembly of Members, a Scientific Advisory Board, </w:t>
      </w:r>
      <w:r w:rsidR="00AD0B4E">
        <w:rPr>
          <w:lang w:val="en-GB"/>
        </w:rPr>
        <w:t xml:space="preserve">an Ethics and Privacy Board, </w:t>
      </w:r>
      <w:r w:rsidRPr="004B3D92">
        <w:rPr>
          <w:lang w:val="en-GB"/>
        </w:rPr>
        <w:t xml:space="preserve">a Central </w:t>
      </w:r>
      <w:r w:rsidRPr="004B3D92">
        <w:rPr>
          <w:lang w:val="en-GB"/>
        </w:rPr>
        <w:lastRenderedPageBreak/>
        <w:t>Executive Management Office</w:t>
      </w:r>
      <w:r w:rsidR="00D602DF">
        <w:rPr>
          <w:lang w:val="en-GB"/>
        </w:rPr>
        <w:t>, a Consultation Platform</w:t>
      </w:r>
      <w:r w:rsidRPr="004B3D92">
        <w:rPr>
          <w:lang w:val="en-GB"/>
        </w:rPr>
        <w:t xml:space="preserve"> and a Network Committee. The strategic decisions are taken by the Assembly of Members with support from the Scientific Advisory Board. The executive activities are carried out by the Central Executive Management Office, which includes the Director General </w:t>
      </w:r>
      <w:r w:rsidR="00165C21" w:rsidRPr="004B3D92">
        <w:rPr>
          <w:lang w:val="en-GB"/>
        </w:rPr>
        <w:t>and the Core Team. The operating</w:t>
      </w:r>
      <w:r w:rsidRPr="004B3D92">
        <w:rPr>
          <w:lang w:val="en-GB"/>
        </w:rPr>
        <w:t xml:space="preserve"> activities are carried out by the Network Committee</w:t>
      </w:r>
      <w:r w:rsidR="00165C21" w:rsidRPr="004B3D92">
        <w:rPr>
          <w:lang w:val="en-GB"/>
        </w:rPr>
        <w:t xml:space="preserve"> and </w:t>
      </w:r>
      <w:r w:rsidR="00FE46EE">
        <w:rPr>
          <w:lang w:val="en-GB"/>
        </w:rPr>
        <w:t xml:space="preserve">nodes </w:t>
      </w:r>
      <w:r w:rsidR="001857F4">
        <w:rPr>
          <w:lang w:val="en-GB"/>
        </w:rPr>
        <w:t xml:space="preserve">which are represented in the Network Committee. The organisational structure is discussed in the next section. Practicalities regarding the different boards are discussed in the </w:t>
      </w:r>
      <w:r w:rsidR="00130C2B">
        <w:rPr>
          <w:lang w:val="en-GB"/>
        </w:rPr>
        <w:t>Statutes</w:t>
      </w:r>
      <w:r w:rsidR="001857F4">
        <w:rPr>
          <w:lang w:val="en-GB"/>
        </w:rPr>
        <w:t>.</w:t>
      </w:r>
    </w:p>
    <w:p w14:paraId="4AD47A1A" w14:textId="77777777" w:rsidR="00FA5A77" w:rsidRPr="00D87086" w:rsidRDefault="00FA5A77" w:rsidP="00587EB1">
      <w:pPr>
        <w:spacing w:after="0"/>
        <w:rPr>
          <w:lang w:val="en-GB"/>
        </w:rPr>
      </w:pPr>
    </w:p>
    <w:p w14:paraId="72CDEAA4" w14:textId="77777777" w:rsidR="00D823D0" w:rsidRDefault="00A27EC5" w:rsidP="00587EB1">
      <w:pPr>
        <w:spacing w:after="0"/>
        <w:rPr>
          <w:lang w:val="en-GB"/>
        </w:rPr>
      </w:pPr>
      <w:r>
        <w:rPr>
          <w:noProof/>
          <w:lang w:val="en-GB" w:eastAsia="en-GB"/>
        </w:rPr>
        <w:drawing>
          <wp:inline distT="0" distB="0" distL="0" distR="0" wp14:anchorId="36D86D32" wp14:editId="434B8CAF">
            <wp:extent cx="5410200" cy="4650761"/>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r="8866"/>
                    <a:stretch/>
                  </pic:blipFill>
                  <pic:spPr bwMode="auto">
                    <a:xfrm>
                      <a:off x="0" y="0"/>
                      <a:ext cx="5410083" cy="4650660"/>
                    </a:xfrm>
                    <a:prstGeom prst="rect">
                      <a:avLst/>
                    </a:prstGeom>
                    <a:noFill/>
                    <a:ln>
                      <a:noFill/>
                    </a:ln>
                    <a:extLst>
                      <a:ext uri="{53640926-AAD7-44D8-BBD7-CCE9431645EC}">
                        <a14:shadowObscured xmlns:a14="http://schemas.microsoft.com/office/drawing/2010/main"/>
                      </a:ext>
                    </a:extLst>
                  </pic:spPr>
                </pic:pic>
              </a:graphicData>
            </a:graphic>
          </wp:inline>
        </w:drawing>
      </w:r>
    </w:p>
    <w:p w14:paraId="545D055F" w14:textId="60AF87D8" w:rsidR="00587EB1" w:rsidRPr="00D87086" w:rsidRDefault="000201E7" w:rsidP="00587EB1">
      <w:pPr>
        <w:spacing w:after="0"/>
        <w:rPr>
          <w:lang w:val="en-GB"/>
        </w:rPr>
      </w:pPr>
      <w:proofErr w:type="gramStart"/>
      <w:r w:rsidRPr="00D87086">
        <w:rPr>
          <w:lang w:val="en-GB"/>
        </w:rPr>
        <w:t>Figure 5</w:t>
      </w:r>
      <w:r w:rsidR="00587EB1" w:rsidRPr="00D87086">
        <w:rPr>
          <w:lang w:val="en-GB"/>
        </w:rPr>
        <w:t>.</w:t>
      </w:r>
      <w:proofErr w:type="gramEnd"/>
      <w:r w:rsidR="00587EB1" w:rsidRPr="00D87086">
        <w:rPr>
          <w:lang w:val="en-GB"/>
        </w:rPr>
        <w:t xml:space="preserve"> </w:t>
      </w:r>
      <w:proofErr w:type="gramStart"/>
      <w:r w:rsidR="00587EB1" w:rsidRPr="00D87086">
        <w:rPr>
          <w:lang w:val="en-GB"/>
        </w:rPr>
        <w:t>Governance structure of HIREP-ERIC.</w:t>
      </w:r>
      <w:proofErr w:type="gramEnd"/>
    </w:p>
    <w:p w14:paraId="0FA3E3C2" w14:textId="77777777" w:rsidR="00587EB1" w:rsidRPr="00D87086" w:rsidRDefault="00587EB1" w:rsidP="00587EB1">
      <w:pPr>
        <w:pStyle w:val="Heading3"/>
        <w:tabs>
          <w:tab w:val="left" w:pos="540"/>
        </w:tabs>
        <w:spacing w:line="288" w:lineRule="auto"/>
        <w:ind w:left="720" w:hanging="720"/>
        <w:rPr>
          <w:lang w:val="en-GB"/>
        </w:rPr>
      </w:pPr>
      <w:bookmarkStart w:id="21" w:name="_Toc459388352"/>
      <w:bookmarkStart w:id="22" w:name="_Toc469063806"/>
      <w:r w:rsidRPr="00D87086">
        <w:rPr>
          <w:lang w:val="en-GB"/>
        </w:rPr>
        <w:t>Decision making</w:t>
      </w:r>
      <w:bookmarkEnd w:id="21"/>
      <w:bookmarkEnd w:id="22"/>
    </w:p>
    <w:p w14:paraId="1D653F94" w14:textId="77777777" w:rsidR="00587EB1" w:rsidRPr="00D87086" w:rsidRDefault="00587EB1" w:rsidP="00890E38">
      <w:pPr>
        <w:pStyle w:val="Heading4"/>
        <w:numPr>
          <w:ilvl w:val="0"/>
          <w:numId w:val="2"/>
        </w:numPr>
        <w:spacing w:after="240" w:line="288" w:lineRule="auto"/>
        <w:rPr>
          <w:lang w:val="en-GB"/>
        </w:rPr>
      </w:pPr>
      <w:r w:rsidRPr="00D87086">
        <w:rPr>
          <w:lang w:val="en-GB"/>
        </w:rPr>
        <w:t>The Assembly of Members</w:t>
      </w:r>
      <w:r w:rsidRPr="00D87086">
        <w:rPr>
          <w:lang w:val="en-GB"/>
        </w:rPr>
        <w:tab/>
      </w:r>
    </w:p>
    <w:p w14:paraId="5044C9C9" w14:textId="44F16DBC" w:rsidR="00587EB1" w:rsidRPr="00D87086" w:rsidRDefault="00587EB1" w:rsidP="00587EB1">
      <w:pPr>
        <w:rPr>
          <w:lang w:val="en-GB"/>
        </w:rPr>
      </w:pPr>
      <w:r w:rsidRPr="00D87086">
        <w:rPr>
          <w:lang w:val="en-GB"/>
        </w:rPr>
        <w:t xml:space="preserve">The Assembly of Members is the governing body of the </w:t>
      </w:r>
      <w:r w:rsidR="005E4876" w:rsidRPr="00D87086">
        <w:rPr>
          <w:lang w:val="en-GB"/>
        </w:rPr>
        <w:t>HIREP-</w:t>
      </w:r>
      <w:r w:rsidRPr="00D87086">
        <w:rPr>
          <w:lang w:val="en-GB"/>
        </w:rPr>
        <w:t>ERIC and is composed of representatives of the members of the ERIC.</w:t>
      </w:r>
      <w:r w:rsidR="00AD0B4E">
        <w:rPr>
          <w:lang w:val="en-GB"/>
        </w:rPr>
        <w:t xml:space="preserve"> Both scientists and administrators can be part of the Assembly of Members.</w:t>
      </w:r>
      <w:r w:rsidRPr="00D87086">
        <w:rPr>
          <w:lang w:val="en-GB"/>
        </w:rPr>
        <w:t xml:space="preserve"> </w:t>
      </w:r>
      <w:r w:rsidR="00A57BA7" w:rsidRPr="00D87086">
        <w:rPr>
          <w:lang w:val="en-GB"/>
        </w:rPr>
        <w:t xml:space="preserve">As defined in the </w:t>
      </w:r>
      <w:r w:rsidR="002C15F6" w:rsidRPr="004B3D92">
        <w:rPr>
          <w:lang w:val="en-GB"/>
        </w:rPr>
        <w:t xml:space="preserve">ERIC </w:t>
      </w:r>
      <w:r w:rsidR="00A57BA7" w:rsidRPr="004B3D92">
        <w:rPr>
          <w:lang w:val="en-GB"/>
        </w:rPr>
        <w:t xml:space="preserve">practical guidelines, </w:t>
      </w:r>
      <w:r w:rsidR="003A6FD0">
        <w:rPr>
          <w:lang w:val="en-GB"/>
        </w:rPr>
        <w:t>the HIREP-</w:t>
      </w:r>
      <w:r w:rsidR="00A57BA7" w:rsidRPr="00D83C6E">
        <w:rPr>
          <w:lang w:val="en-GB"/>
        </w:rPr>
        <w:t xml:space="preserve">ERIC must have at least one Member State and two other countries that are either Member States or associated countries as members (10). </w:t>
      </w:r>
      <w:r w:rsidR="00E272AA">
        <w:rPr>
          <w:lang w:val="en-GB"/>
        </w:rPr>
        <w:t xml:space="preserve">The Assembly of </w:t>
      </w:r>
      <w:r w:rsidRPr="00D87086">
        <w:rPr>
          <w:lang w:val="en-GB"/>
        </w:rPr>
        <w:t>Members may decide to accept observers</w:t>
      </w:r>
      <w:r w:rsidR="00882700">
        <w:rPr>
          <w:lang w:val="en-GB"/>
        </w:rPr>
        <w:t xml:space="preserve"> with no voting </w:t>
      </w:r>
      <w:r w:rsidRPr="004C7100">
        <w:rPr>
          <w:lang w:val="en-GB"/>
        </w:rPr>
        <w:t>rights</w:t>
      </w:r>
      <w:r w:rsidRPr="00D87086">
        <w:rPr>
          <w:lang w:val="en-GB"/>
        </w:rPr>
        <w:t>. The Assembly of Members is the highest and ultimate governing body of the HIREP-ERIC with full decision-making power. Each member and observer nominates an official representative</w:t>
      </w:r>
      <w:r w:rsidR="00607A46">
        <w:rPr>
          <w:lang w:val="en-GB"/>
        </w:rPr>
        <w:t xml:space="preserve"> to participate in the Assembly of Members</w:t>
      </w:r>
      <w:r w:rsidRPr="00D87086">
        <w:rPr>
          <w:lang w:val="en-GB"/>
        </w:rPr>
        <w:t>. The Assembly of Members elects amongst its members a Chairperson and a Vice-</w:t>
      </w:r>
      <w:r w:rsidRPr="00D87086">
        <w:rPr>
          <w:lang w:val="en-GB"/>
        </w:rPr>
        <w:lastRenderedPageBreak/>
        <w:t>Chairperson to chair the meetings. One representative of the Scientific Advisory Board</w:t>
      </w:r>
      <w:r w:rsidR="00116048">
        <w:rPr>
          <w:lang w:val="en-GB"/>
        </w:rPr>
        <w:t xml:space="preserve"> and the Ethics and Privacy Board</w:t>
      </w:r>
      <w:r w:rsidRPr="00D87086">
        <w:rPr>
          <w:lang w:val="en-GB"/>
        </w:rPr>
        <w:t xml:space="preserve"> is invited as an observer in the Assembly of Members. The Director General is the rapporteur of the Central Executive Management Office to the Assembly of Members.</w:t>
      </w:r>
    </w:p>
    <w:p w14:paraId="79FE069F" w14:textId="77777777" w:rsidR="00587EB1" w:rsidRPr="00FE46EE" w:rsidRDefault="00587EB1" w:rsidP="00890E38">
      <w:pPr>
        <w:pStyle w:val="Heading4"/>
        <w:numPr>
          <w:ilvl w:val="0"/>
          <w:numId w:val="2"/>
        </w:numPr>
        <w:spacing w:after="240" w:line="288" w:lineRule="auto"/>
        <w:rPr>
          <w:lang w:val="en-GB"/>
        </w:rPr>
      </w:pPr>
      <w:r w:rsidRPr="00FE46EE">
        <w:rPr>
          <w:lang w:val="en-GB"/>
        </w:rPr>
        <w:t xml:space="preserve">The Scientific Advisory Board </w:t>
      </w:r>
      <w:r w:rsidR="00694F28" w:rsidRPr="00FE46EE">
        <w:rPr>
          <w:lang w:val="en-GB"/>
        </w:rPr>
        <w:t>(SAB)</w:t>
      </w:r>
      <w:r w:rsidR="00FE46EE" w:rsidRPr="00FE46EE">
        <w:rPr>
          <w:lang w:val="en-GB"/>
        </w:rPr>
        <w:t xml:space="preserve"> </w:t>
      </w:r>
      <w:r w:rsidR="00FE46EE">
        <w:rPr>
          <w:lang w:val="en-GB"/>
        </w:rPr>
        <w:t>and Ethics and Privacy B</w:t>
      </w:r>
      <w:r w:rsidR="00FE46EE" w:rsidRPr="00FE46EE">
        <w:rPr>
          <w:lang w:val="en-GB"/>
        </w:rPr>
        <w:t>oard</w:t>
      </w:r>
      <w:r w:rsidR="00FE46EE">
        <w:rPr>
          <w:lang w:val="en-GB"/>
        </w:rPr>
        <w:t xml:space="preserve"> (EPB)</w:t>
      </w:r>
    </w:p>
    <w:p w14:paraId="21510377" w14:textId="7D0B8CB3" w:rsidR="00587EB1" w:rsidRPr="00D87086" w:rsidRDefault="00587EB1" w:rsidP="001857F4">
      <w:pPr>
        <w:rPr>
          <w:lang w:val="en-GB"/>
        </w:rPr>
      </w:pPr>
      <w:r w:rsidRPr="004B3D92">
        <w:rPr>
          <w:lang w:val="en-GB"/>
        </w:rPr>
        <w:t>The Scientific Advisory Board consists of</w:t>
      </w:r>
      <w:r w:rsidR="00A57BA7" w:rsidRPr="004B3D92">
        <w:rPr>
          <w:lang w:val="en-GB"/>
        </w:rPr>
        <w:t xml:space="preserve"> </w:t>
      </w:r>
      <w:r w:rsidR="00882700">
        <w:rPr>
          <w:lang w:val="en-GB"/>
        </w:rPr>
        <w:t xml:space="preserve">up to </w:t>
      </w:r>
      <w:r w:rsidR="00A57BA7" w:rsidRPr="004B3D92">
        <w:rPr>
          <w:lang w:val="en-GB"/>
        </w:rPr>
        <w:t>ten</w:t>
      </w:r>
      <w:r w:rsidRPr="004B3D92">
        <w:rPr>
          <w:lang w:val="en-GB"/>
        </w:rPr>
        <w:t xml:space="preserve"> </w:t>
      </w:r>
      <w:r w:rsidR="00CA4C3B">
        <w:rPr>
          <w:lang w:val="en-GB"/>
        </w:rPr>
        <w:t xml:space="preserve">independent </w:t>
      </w:r>
      <w:r w:rsidRPr="00D87086">
        <w:rPr>
          <w:lang w:val="en-GB"/>
        </w:rPr>
        <w:t xml:space="preserve">and internationally recognised scientists involved in population health </w:t>
      </w:r>
      <w:r w:rsidR="00227729">
        <w:rPr>
          <w:lang w:val="en-GB"/>
        </w:rPr>
        <w:t xml:space="preserve">monitoring and </w:t>
      </w:r>
      <w:r w:rsidRPr="00D87086">
        <w:rPr>
          <w:lang w:val="en-GB"/>
        </w:rPr>
        <w:t xml:space="preserve">research </w:t>
      </w:r>
      <w:r w:rsidR="003A6FD0">
        <w:rPr>
          <w:lang w:val="en-GB"/>
        </w:rPr>
        <w:t>and</w:t>
      </w:r>
      <w:r w:rsidRPr="00D87086">
        <w:rPr>
          <w:lang w:val="en-GB"/>
        </w:rPr>
        <w:t xml:space="preserve"> health system performance assessment acting on their personal title and strategic experience. </w:t>
      </w:r>
      <w:r w:rsidR="00FE46EE">
        <w:rPr>
          <w:lang w:val="en-GB"/>
        </w:rPr>
        <w:t xml:space="preserve">The </w:t>
      </w:r>
      <w:r w:rsidR="0033336A">
        <w:rPr>
          <w:lang w:val="en-GB"/>
        </w:rPr>
        <w:t>Ethics and Privacy B</w:t>
      </w:r>
      <w:r w:rsidR="0033336A" w:rsidRPr="00FE46EE">
        <w:rPr>
          <w:lang w:val="en-GB"/>
        </w:rPr>
        <w:t>oard</w:t>
      </w:r>
      <w:r w:rsidR="0033336A">
        <w:rPr>
          <w:lang w:val="en-GB"/>
        </w:rPr>
        <w:t xml:space="preserve"> </w:t>
      </w:r>
      <w:r w:rsidR="00FE46EE">
        <w:rPr>
          <w:lang w:val="en-GB"/>
        </w:rPr>
        <w:t>similarly consist of experts in ethics and privacy.</w:t>
      </w:r>
    </w:p>
    <w:p w14:paraId="3BFEAFE4" w14:textId="7E3E9D66" w:rsidR="00587EB1" w:rsidRPr="00882700" w:rsidRDefault="00587EB1" w:rsidP="001857F4">
      <w:pPr>
        <w:rPr>
          <w:lang w:val="en-GB"/>
        </w:rPr>
      </w:pPr>
      <w:r w:rsidRPr="00D87086">
        <w:rPr>
          <w:lang w:val="en-GB"/>
        </w:rPr>
        <w:t xml:space="preserve">The </w:t>
      </w:r>
      <w:r w:rsidR="0033336A" w:rsidRPr="004B3D92">
        <w:rPr>
          <w:lang w:val="en-GB"/>
        </w:rPr>
        <w:t xml:space="preserve">Scientific Advisory Board </w:t>
      </w:r>
      <w:r w:rsidR="00FE46EE">
        <w:rPr>
          <w:lang w:val="en-GB"/>
        </w:rPr>
        <w:t xml:space="preserve">and </w:t>
      </w:r>
      <w:r w:rsidR="0033336A">
        <w:rPr>
          <w:lang w:val="en-GB"/>
        </w:rPr>
        <w:t>Ethics and Privacy B</w:t>
      </w:r>
      <w:r w:rsidR="0033336A" w:rsidRPr="00FE46EE">
        <w:rPr>
          <w:lang w:val="en-GB"/>
        </w:rPr>
        <w:t>oard</w:t>
      </w:r>
      <w:r w:rsidR="0033336A">
        <w:rPr>
          <w:lang w:val="en-GB"/>
        </w:rPr>
        <w:t xml:space="preserve"> </w:t>
      </w:r>
      <w:r w:rsidRPr="004B3D92">
        <w:rPr>
          <w:lang w:val="en-GB"/>
        </w:rPr>
        <w:t>will offer advice on request of the Assembly of Members and may be consulted by the Central Executive Management Office on al</w:t>
      </w:r>
      <w:r w:rsidR="0096529C" w:rsidRPr="004B3D92">
        <w:rPr>
          <w:lang w:val="en-GB"/>
        </w:rPr>
        <w:t>l</w:t>
      </w:r>
      <w:r w:rsidRPr="004B3D92">
        <w:rPr>
          <w:lang w:val="en-GB"/>
        </w:rPr>
        <w:t xml:space="preserve"> scientifically and technologically relevant matters including questions regarding the research agenda, scientific strategies, ethical issues and the annual work programme. The Scientific Advisory Board is also tasked to </w:t>
      </w:r>
      <w:r w:rsidR="0096529C" w:rsidRPr="004B3D92">
        <w:rPr>
          <w:lang w:val="en-GB"/>
        </w:rPr>
        <w:t xml:space="preserve">periodically </w:t>
      </w:r>
      <w:r w:rsidRPr="004B3D92">
        <w:rPr>
          <w:lang w:val="en-GB"/>
        </w:rPr>
        <w:t xml:space="preserve">evaluate the </w:t>
      </w:r>
      <w:r w:rsidRPr="00882700">
        <w:rPr>
          <w:lang w:val="en-GB"/>
        </w:rPr>
        <w:t>activities and product</w:t>
      </w:r>
      <w:r w:rsidR="0096529C" w:rsidRPr="00882700">
        <w:rPr>
          <w:lang w:val="en-GB"/>
        </w:rPr>
        <w:t xml:space="preserve">s of HIREP-ERIC including the strategic and operational objectives. </w:t>
      </w:r>
    </w:p>
    <w:p w14:paraId="34AE987E" w14:textId="1E833C8A" w:rsidR="00587EB1" w:rsidRDefault="00587EB1" w:rsidP="00587EB1">
      <w:pPr>
        <w:rPr>
          <w:lang w:val="en-GB"/>
        </w:rPr>
      </w:pPr>
      <w:r w:rsidRPr="00882700">
        <w:rPr>
          <w:lang w:val="en-GB"/>
        </w:rPr>
        <w:t xml:space="preserve">The </w:t>
      </w:r>
      <w:r w:rsidR="0033336A" w:rsidRPr="004B3D92">
        <w:rPr>
          <w:lang w:val="en-GB"/>
        </w:rPr>
        <w:t xml:space="preserve">Scientific Advisory Board </w:t>
      </w:r>
      <w:r w:rsidR="00FE46EE">
        <w:rPr>
          <w:lang w:val="en-GB"/>
        </w:rPr>
        <w:t xml:space="preserve">and EPB </w:t>
      </w:r>
      <w:r w:rsidRPr="00882700">
        <w:rPr>
          <w:lang w:val="en-GB"/>
        </w:rPr>
        <w:t xml:space="preserve">can select </w:t>
      </w:r>
      <w:r w:rsidR="00227729">
        <w:rPr>
          <w:lang w:val="en-GB"/>
        </w:rPr>
        <w:t>a representative</w:t>
      </w:r>
      <w:r w:rsidRPr="00882700">
        <w:rPr>
          <w:lang w:val="en-GB"/>
        </w:rPr>
        <w:t xml:space="preserve"> to participate in the Assembly of Members</w:t>
      </w:r>
      <w:r w:rsidR="00116048">
        <w:rPr>
          <w:lang w:val="en-GB"/>
        </w:rPr>
        <w:t xml:space="preserve"> as an observer</w:t>
      </w:r>
      <w:r w:rsidRPr="00882700">
        <w:rPr>
          <w:lang w:val="en-GB"/>
        </w:rPr>
        <w:t xml:space="preserve">. </w:t>
      </w:r>
      <w:r w:rsidR="00E766A0">
        <w:rPr>
          <w:lang w:val="en-GB"/>
        </w:rPr>
        <w:t xml:space="preserve">The Assembly of Members defines the selection procedure, appointment and duration of </w:t>
      </w:r>
      <w:r w:rsidR="0033336A" w:rsidRPr="004B3D92">
        <w:rPr>
          <w:lang w:val="en-GB"/>
        </w:rPr>
        <w:t xml:space="preserve">Scientific Advisory Board </w:t>
      </w:r>
      <w:r w:rsidR="00E766A0">
        <w:rPr>
          <w:lang w:val="en-GB"/>
        </w:rPr>
        <w:t xml:space="preserve">and </w:t>
      </w:r>
      <w:r w:rsidR="0033336A">
        <w:rPr>
          <w:lang w:val="en-GB"/>
        </w:rPr>
        <w:t>Ethics and Privacy B</w:t>
      </w:r>
      <w:r w:rsidR="0033336A" w:rsidRPr="00FE46EE">
        <w:rPr>
          <w:lang w:val="en-GB"/>
        </w:rPr>
        <w:t>oard</w:t>
      </w:r>
      <w:r w:rsidR="00E766A0">
        <w:rPr>
          <w:lang w:val="en-GB"/>
        </w:rPr>
        <w:t>.</w:t>
      </w:r>
    </w:p>
    <w:p w14:paraId="291CEB5F" w14:textId="77777777" w:rsidR="00587EB1" w:rsidRPr="00882700" w:rsidRDefault="00587EB1" w:rsidP="00587EB1">
      <w:pPr>
        <w:pStyle w:val="Heading3"/>
        <w:tabs>
          <w:tab w:val="left" w:pos="540"/>
        </w:tabs>
        <w:spacing w:line="288" w:lineRule="auto"/>
        <w:ind w:left="720" w:hanging="720"/>
        <w:rPr>
          <w:lang w:val="en-GB"/>
        </w:rPr>
      </w:pPr>
      <w:bookmarkStart w:id="23" w:name="_Toc459388353"/>
      <w:bookmarkStart w:id="24" w:name="_Toc469063807"/>
      <w:r w:rsidRPr="00882700">
        <w:rPr>
          <w:lang w:val="en-GB"/>
        </w:rPr>
        <w:t>Executive</w:t>
      </w:r>
      <w:bookmarkEnd w:id="23"/>
      <w:bookmarkEnd w:id="24"/>
      <w:r w:rsidRPr="00882700">
        <w:rPr>
          <w:lang w:val="en-GB"/>
        </w:rPr>
        <w:t xml:space="preserve"> </w:t>
      </w:r>
    </w:p>
    <w:p w14:paraId="557E6DEF" w14:textId="77777777" w:rsidR="00587EB1" w:rsidRPr="00D87086" w:rsidRDefault="00587EB1" w:rsidP="00890E38">
      <w:pPr>
        <w:pStyle w:val="Heading4"/>
        <w:numPr>
          <w:ilvl w:val="0"/>
          <w:numId w:val="3"/>
        </w:numPr>
        <w:spacing w:after="240" w:line="288" w:lineRule="auto"/>
        <w:rPr>
          <w:lang w:val="en-GB"/>
        </w:rPr>
      </w:pPr>
      <w:r w:rsidRPr="00D87086">
        <w:rPr>
          <w:lang w:val="en-GB"/>
        </w:rPr>
        <w:t>The Central Executive Management Office: Director General and Core Team</w:t>
      </w:r>
    </w:p>
    <w:p w14:paraId="6E4C3C2B" w14:textId="62FA62D8" w:rsidR="00587EB1" w:rsidRPr="00D87086" w:rsidRDefault="00587EB1" w:rsidP="00587EB1">
      <w:pPr>
        <w:rPr>
          <w:lang w:val="en-GB"/>
        </w:rPr>
      </w:pPr>
      <w:r w:rsidRPr="00D87086">
        <w:rPr>
          <w:lang w:val="en-GB"/>
        </w:rPr>
        <w:t xml:space="preserve">The Central Executive Management Office is composed of the Director General and a Core Team. The Central Executive Management Office is the executive body of the HIREP-ERIC. It is responsible for the management, operational and budgetary day-to-day decisions. </w:t>
      </w:r>
      <w:r w:rsidR="000C5F95">
        <w:rPr>
          <w:lang w:val="en-GB"/>
        </w:rPr>
        <w:t xml:space="preserve">The </w:t>
      </w:r>
      <w:r w:rsidR="000C5F95" w:rsidRPr="00D87086">
        <w:rPr>
          <w:lang w:val="en-GB"/>
        </w:rPr>
        <w:t xml:space="preserve">Central Executive Management Office </w:t>
      </w:r>
      <w:r w:rsidR="000C5F95">
        <w:rPr>
          <w:lang w:val="en-GB"/>
        </w:rPr>
        <w:t xml:space="preserve">provides an administrative governance structure, which carries out scientific, technical and administrative coordination tasks in addition to the delivery of core services. These tasks are decided by the Assembly of Members. </w:t>
      </w:r>
      <w:r w:rsidRPr="00D87086">
        <w:rPr>
          <w:lang w:val="en-GB"/>
        </w:rPr>
        <w:t xml:space="preserve">There is a clear frontier between the strategic decisions taken by the Assembly of Members and the executive part carried out by the Central Executive Management Office in order to avoid any conflict of interest within the HIREP-ERIC. </w:t>
      </w:r>
    </w:p>
    <w:p w14:paraId="7DAD2F5C" w14:textId="77777777" w:rsidR="00873920" w:rsidRDefault="00587EB1" w:rsidP="001857F4">
      <w:pPr>
        <w:rPr>
          <w:lang w:val="en-GB"/>
        </w:rPr>
      </w:pPr>
      <w:r w:rsidRPr="00D87086">
        <w:rPr>
          <w:lang w:val="en-GB"/>
        </w:rPr>
        <w:t xml:space="preserve">The Director General is appointed </w:t>
      </w:r>
      <w:r w:rsidR="0096529C" w:rsidRPr="00D87086">
        <w:rPr>
          <w:lang w:val="en-GB"/>
        </w:rPr>
        <w:t>for six years</w:t>
      </w:r>
      <w:r w:rsidR="001857F4">
        <w:rPr>
          <w:lang w:val="en-GB"/>
        </w:rPr>
        <w:t xml:space="preserve"> </w:t>
      </w:r>
      <w:r w:rsidRPr="00D87086">
        <w:rPr>
          <w:lang w:val="en-GB"/>
        </w:rPr>
        <w:t>by the Assembly of Members and is assisted by the Core Team. The Core Team</w:t>
      </w:r>
      <w:r w:rsidR="003A0401">
        <w:rPr>
          <w:lang w:val="en-GB"/>
        </w:rPr>
        <w:t xml:space="preserve"> is</w:t>
      </w:r>
      <w:r w:rsidRPr="00D87086">
        <w:rPr>
          <w:lang w:val="en-GB"/>
        </w:rPr>
        <w:t xml:space="preserve"> in charge of the coordination and support office of the HIREP-ERIC. The Core Team is responsible for daily operations (such as preparations of meetings</w:t>
      </w:r>
      <w:r w:rsidR="00873920">
        <w:rPr>
          <w:lang w:val="en-GB"/>
        </w:rPr>
        <w:t xml:space="preserve">), the implementation of the HIREP-ERIC programme, servicing the various Boards and Committees, external relations and communications, providing services to support the </w:t>
      </w:r>
      <w:r w:rsidR="00FE46EE">
        <w:rPr>
          <w:lang w:val="en-GB"/>
        </w:rPr>
        <w:t xml:space="preserve">nodes </w:t>
      </w:r>
      <w:r w:rsidR="00873920">
        <w:rPr>
          <w:lang w:val="en-GB"/>
        </w:rPr>
        <w:t>and the user community, and grant-application functions. The Core Team comprise legal and technical expertise, which is necessary for a large distributed research infrastructure and the effective interfacing and coordination.</w:t>
      </w:r>
      <w:r w:rsidR="000C5F95">
        <w:rPr>
          <w:lang w:val="en-GB"/>
        </w:rPr>
        <w:t xml:space="preserve"> </w:t>
      </w:r>
    </w:p>
    <w:p w14:paraId="3AAEF467" w14:textId="64E2D787" w:rsidR="00D67681" w:rsidRDefault="00D67681" w:rsidP="00D823D0">
      <w:pPr>
        <w:pStyle w:val="Heading4"/>
        <w:numPr>
          <w:ilvl w:val="0"/>
          <w:numId w:val="3"/>
        </w:numPr>
        <w:spacing w:after="240" w:line="288" w:lineRule="auto"/>
        <w:rPr>
          <w:lang w:val="en-GB"/>
        </w:rPr>
      </w:pPr>
      <w:r>
        <w:rPr>
          <w:lang w:val="en-GB"/>
        </w:rPr>
        <w:lastRenderedPageBreak/>
        <w:t>Consultation Platform</w:t>
      </w:r>
    </w:p>
    <w:p w14:paraId="607949E8" w14:textId="77777777" w:rsidR="00D823D0" w:rsidRPr="00D823D0" w:rsidRDefault="000B1A46" w:rsidP="00D823D0">
      <w:pPr>
        <w:rPr>
          <w:lang w:val="en-GB"/>
        </w:rPr>
      </w:pPr>
      <w:r w:rsidRPr="00D823D0">
        <w:rPr>
          <w:lang w:val="en-GB"/>
        </w:rPr>
        <w:t>The</w:t>
      </w:r>
      <w:r w:rsidR="00973506" w:rsidRPr="00D823D0">
        <w:rPr>
          <w:lang w:val="en-GB"/>
        </w:rPr>
        <w:t xml:space="preserve"> </w:t>
      </w:r>
      <w:r w:rsidR="00D823D0" w:rsidRPr="00D823D0">
        <w:rPr>
          <w:lang w:val="en-GB"/>
        </w:rPr>
        <w:t>C</w:t>
      </w:r>
      <w:r w:rsidR="00B773B3" w:rsidRPr="00D823D0">
        <w:rPr>
          <w:lang w:val="en-GB"/>
        </w:rPr>
        <w:t>onsul</w:t>
      </w:r>
      <w:r w:rsidR="00BE7E4C" w:rsidRPr="00D823D0">
        <w:rPr>
          <w:lang w:val="en-GB"/>
        </w:rPr>
        <w:t>t</w:t>
      </w:r>
      <w:r w:rsidR="00D823D0" w:rsidRPr="00D823D0">
        <w:rPr>
          <w:lang w:val="en-GB"/>
        </w:rPr>
        <w:t>ation P</w:t>
      </w:r>
      <w:r w:rsidR="00B773B3" w:rsidRPr="00D823D0">
        <w:rPr>
          <w:lang w:val="en-GB"/>
        </w:rPr>
        <w:t>latform</w:t>
      </w:r>
      <w:r w:rsidR="00BE7E4C" w:rsidRPr="00D823D0">
        <w:rPr>
          <w:lang w:val="en-GB"/>
        </w:rPr>
        <w:t xml:space="preserve"> will ali</w:t>
      </w:r>
      <w:r w:rsidR="0033336A" w:rsidRPr="00D823D0">
        <w:rPr>
          <w:lang w:val="en-GB"/>
        </w:rPr>
        <w:t>gn with the current European</w:t>
      </w:r>
      <w:r w:rsidR="00BE7E4C" w:rsidRPr="00D823D0">
        <w:rPr>
          <w:lang w:val="en-GB"/>
        </w:rPr>
        <w:t xml:space="preserve"> health information landscape and liaise with different </w:t>
      </w:r>
      <w:r w:rsidRPr="00D823D0">
        <w:rPr>
          <w:lang w:val="en-GB"/>
        </w:rPr>
        <w:t>organisations</w:t>
      </w:r>
      <w:r w:rsidR="00BE7E4C" w:rsidRPr="00D823D0">
        <w:rPr>
          <w:lang w:val="en-GB"/>
        </w:rPr>
        <w:t xml:space="preserve">. </w:t>
      </w:r>
      <w:r w:rsidR="006F5D3D" w:rsidRPr="00D823D0">
        <w:rPr>
          <w:lang w:val="en-GB"/>
        </w:rPr>
        <w:t xml:space="preserve">The platform will </w:t>
      </w:r>
      <w:r w:rsidR="006F5D3D">
        <w:t>seek</w:t>
      </w:r>
      <w:r w:rsidR="006F5D3D" w:rsidRPr="006F5D3D">
        <w:t xml:space="preserve"> synergies between international entities</w:t>
      </w:r>
      <w:r w:rsidR="006F5D3D">
        <w:t>.</w:t>
      </w:r>
      <w:r w:rsidR="006F5D3D" w:rsidRPr="006F5D3D">
        <w:t xml:space="preserve"> </w:t>
      </w:r>
      <w:r w:rsidR="00BE7E4C" w:rsidRPr="00D823D0">
        <w:rPr>
          <w:lang w:val="en-GB"/>
        </w:rPr>
        <w:t>A representative from the following organisations will compose the platform</w:t>
      </w:r>
      <w:r w:rsidR="00973506" w:rsidRPr="00D823D0">
        <w:rPr>
          <w:lang w:val="en-GB"/>
        </w:rPr>
        <w:t>.</w:t>
      </w:r>
    </w:p>
    <w:p w14:paraId="47D47440" w14:textId="28153EC5" w:rsidR="00BE7E4C" w:rsidRDefault="000B1A46" w:rsidP="00BE7E4C">
      <w:pPr>
        <w:pStyle w:val="ListParagraph"/>
        <w:numPr>
          <w:ilvl w:val="0"/>
          <w:numId w:val="18"/>
        </w:numPr>
        <w:rPr>
          <w:lang w:val="en-GB"/>
        </w:rPr>
      </w:pPr>
      <w:r>
        <w:rPr>
          <w:lang w:val="en-GB"/>
        </w:rPr>
        <w:t>A representative from t</w:t>
      </w:r>
      <w:r w:rsidR="00BE7E4C">
        <w:rPr>
          <w:lang w:val="en-GB"/>
        </w:rPr>
        <w:t xml:space="preserve">he Expert Group of Health Information (EGHI) and </w:t>
      </w:r>
      <w:r w:rsidR="0033336A">
        <w:rPr>
          <w:lang w:val="en-GB"/>
        </w:rPr>
        <w:t xml:space="preserve">the Expert Group on Health System Performance </w:t>
      </w:r>
      <w:r w:rsidR="00BE7E4C">
        <w:rPr>
          <w:lang w:val="en-GB"/>
        </w:rPr>
        <w:t>other consultative structures in the Commission such as</w:t>
      </w:r>
      <w:r w:rsidR="0033336A">
        <w:rPr>
          <w:lang w:val="en-GB"/>
        </w:rPr>
        <w:t xml:space="preserve"> the</w:t>
      </w:r>
      <w:r w:rsidR="00BE7E4C">
        <w:rPr>
          <w:lang w:val="en-GB"/>
        </w:rPr>
        <w:t xml:space="preserve"> Joint Assessment Framework (JAF) on Health.</w:t>
      </w:r>
    </w:p>
    <w:p w14:paraId="3C7C9923" w14:textId="77777777" w:rsidR="00BE7E4C" w:rsidRPr="00F37B76" w:rsidRDefault="000B1A46" w:rsidP="00BE7E4C">
      <w:pPr>
        <w:pStyle w:val="ListParagraph"/>
        <w:numPr>
          <w:ilvl w:val="0"/>
          <w:numId w:val="18"/>
        </w:numPr>
        <w:rPr>
          <w:lang w:val="en-GB"/>
        </w:rPr>
      </w:pPr>
      <w:r>
        <w:rPr>
          <w:lang w:val="en-GB"/>
        </w:rPr>
        <w:t xml:space="preserve">A representative from </w:t>
      </w:r>
      <w:r w:rsidR="00BE7E4C" w:rsidRPr="00F37B76">
        <w:rPr>
          <w:lang w:val="en-GB"/>
        </w:rPr>
        <w:t>European agencies</w:t>
      </w:r>
      <w:r>
        <w:rPr>
          <w:lang w:val="en-GB"/>
        </w:rPr>
        <w:t xml:space="preserve"> dealing with health information</w:t>
      </w:r>
      <w:r w:rsidR="00BE7E4C" w:rsidRPr="00F37B76">
        <w:rPr>
          <w:lang w:val="en-GB"/>
        </w:rPr>
        <w:t>, in particular the</w:t>
      </w:r>
      <w:r w:rsidR="00BE7E4C" w:rsidRPr="00531821">
        <w:rPr>
          <w:iCs w:val="0"/>
        </w:rPr>
        <w:t xml:space="preserve"> </w:t>
      </w:r>
      <w:r w:rsidR="00BE7E4C" w:rsidRPr="00531821">
        <w:t xml:space="preserve">European Centre for Disease Prevention and Control </w:t>
      </w:r>
      <w:r w:rsidR="00BE7E4C" w:rsidRPr="00F37B76">
        <w:rPr>
          <w:lang w:val="en-GB"/>
        </w:rPr>
        <w:t xml:space="preserve">but also others such as the European Environment Agency, the European Monitoring Centre for Drugs and Drug Addiction, the European Medicines Evaluation Agency, </w:t>
      </w:r>
      <w:r w:rsidR="00BE7E4C" w:rsidRPr="00602C4E">
        <w:rPr>
          <w:lang w:val="en-GB"/>
        </w:rPr>
        <w:t>European Agency for Safety and Health at Work</w:t>
      </w:r>
      <w:r w:rsidR="00BE7E4C">
        <w:rPr>
          <w:lang w:val="en-GB"/>
        </w:rPr>
        <w:t>,</w:t>
      </w:r>
      <w:r w:rsidR="00BE7E4C" w:rsidRPr="00602C4E">
        <w:rPr>
          <w:lang w:val="en-GB"/>
        </w:rPr>
        <w:t xml:space="preserve"> </w:t>
      </w:r>
      <w:r w:rsidR="00BE7E4C" w:rsidRPr="00F37B76">
        <w:rPr>
          <w:lang w:val="en-GB"/>
        </w:rPr>
        <w:t>and the European Foundation for the</w:t>
      </w:r>
      <w:r w:rsidR="00BE7E4C">
        <w:rPr>
          <w:lang w:val="en-GB"/>
        </w:rPr>
        <w:t xml:space="preserve"> </w:t>
      </w:r>
      <w:r w:rsidR="00BE7E4C" w:rsidRPr="00F37B76">
        <w:rPr>
          <w:lang w:val="en-GB"/>
        </w:rPr>
        <w:t>Improvement of Living and Working Conditions;</w:t>
      </w:r>
    </w:p>
    <w:p w14:paraId="130B9E0C" w14:textId="67CF8949" w:rsidR="00BE7E4C" w:rsidRPr="00531821" w:rsidRDefault="000B1A46" w:rsidP="00BE7E4C">
      <w:pPr>
        <w:pStyle w:val="ListParagraph"/>
        <w:numPr>
          <w:ilvl w:val="0"/>
          <w:numId w:val="18"/>
        </w:numPr>
        <w:rPr>
          <w:lang w:val="en-GB"/>
        </w:rPr>
      </w:pPr>
      <w:r>
        <w:rPr>
          <w:lang w:val="en-GB"/>
        </w:rPr>
        <w:t xml:space="preserve">A representative from </w:t>
      </w:r>
      <w:r w:rsidR="00BE7E4C" w:rsidRPr="00531821">
        <w:rPr>
          <w:lang w:val="en-GB"/>
        </w:rPr>
        <w:t>European Commission services</w:t>
      </w:r>
      <w:r w:rsidR="00BE7E4C" w:rsidRPr="00531821">
        <w:rPr>
          <w:iCs w:val="0"/>
          <w:lang w:val="en-GB"/>
        </w:rPr>
        <w:t xml:space="preserve"> </w:t>
      </w:r>
      <w:r w:rsidR="00BE7E4C" w:rsidRPr="00531821">
        <w:rPr>
          <w:lang w:val="en-GB"/>
        </w:rPr>
        <w:t>are also vital partners, such as SANTE, ESTAT</w:t>
      </w:r>
      <w:r w:rsidR="00BE7E4C">
        <w:rPr>
          <w:lang w:val="en-GB"/>
        </w:rPr>
        <w:t>,</w:t>
      </w:r>
      <w:r w:rsidR="00BE7E4C" w:rsidRPr="00531821">
        <w:rPr>
          <w:lang w:val="en-GB"/>
        </w:rPr>
        <w:t xml:space="preserve"> RTD, </w:t>
      </w:r>
      <w:r w:rsidR="007353B0">
        <w:rPr>
          <w:lang w:val="en-GB"/>
        </w:rPr>
        <w:t>JRC etc.</w:t>
      </w:r>
    </w:p>
    <w:p w14:paraId="3FBAED07" w14:textId="0197BFBF" w:rsidR="00BE7E4C" w:rsidRDefault="000B1A46" w:rsidP="00BE7E4C">
      <w:pPr>
        <w:pStyle w:val="ListParagraph"/>
        <w:numPr>
          <w:ilvl w:val="0"/>
          <w:numId w:val="18"/>
        </w:numPr>
        <w:rPr>
          <w:lang w:val="en-GB"/>
        </w:rPr>
      </w:pPr>
      <w:r>
        <w:rPr>
          <w:lang w:val="en-GB"/>
        </w:rPr>
        <w:t>A representative from p</w:t>
      </w:r>
      <w:r w:rsidR="00BE7E4C" w:rsidRPr="00F37B76">
        <w:rPr>
          <w:lang w:val="en-GB"/>
        </w:rPr>
        <w:t>artner organisations at international level, in particular the</w:t>
      </w:r>
      <w:r w:rsidR="00BE7E4C">
        <w:rPr>
          <w:lang w:val="en-GB"/>
        </w:rPr>
        <w:t xml:space="preserve"> </w:t>
      </w:r>
      <w:r w:rsidR="00BE7E4C" w:rsidRPr="00F37B76">
        <w:rPr>
          <w:lang w:val="en-GB"/>
        </w:rPr>
        <w:t>WHO</w:t>
      </w:r>
      <w:r w:rsidR="0033336A">
        <w:rPr>
          <w:lang w:val="en-GB"/>
        </w:rPr>
        <w:t xml:space="preserve"> Regional Office for Europe</w:t>
      </w:r>
      <w:r w:rsidR="00BE7E4C">
        <w:rPr>
          <w:lang w:val="en-GB"/>
        </w:rPr>
        <w:t>,</w:t>
      </w:r>
      <w:r w:rsidR="00BE7E4C" w:rsidRPr="00F37B76">
        <w:rPr>
          <w:lang w:val="en-GB"/>
        </w:rPr>
        <w:t xml:space="preserve"> the OECD</w:t>
      </w:r>
      <w:r>
        <w:rPr>
          <w:lang w:val="en-GB"/>
        </w:rPr>
        <w:t xml:space="preserve"> and the European Observatory </w:t>
      </w:r>
      <w:r w:rsidRPr="000B1A46">
        <w:t>on </w:t>
      </w:r>
      <w:r w:rsidRPr="00D823D0">
        <w:rPr>
          <w:bCs/>
        </w:rPr>
        <w:t>Health Systems</w:t>
      </w:r>
      <w:r w:rsidRPr="000B1A46">
        <w:t> and Policies</w:t>
      </w:r>
      <w:r w:rsidR="00BE7E4C" w:rsidRPr="00F37B76">
        <w:rPr>
          <w:lang w:val="en-GB"/>
        </w:rPr>
        <w:t>;</w:t>
      </w:r>
    </w:p>
    <w:p w14:paraId="0EEB1355" w14:textId="511B0CB4" w:rsidR="007353B0" w:rsidRDefault="000B1A46" w:rsidP="00BE7E4C">
      <w:pPr>
        <w:pStyle w:val="ListParagraph"/>
        <w:numPr>
          <w:ilvl w:val="0"/>
          <w:numId w:val="18"/>
        </w:numPr>
        <w:rPr>
          <w:lang w:val="en-GB"/>
        </w:rPr>
      </w:pPr>
      <w:r>
        <w:rPr>
          <w:lang w:val="en-GB"/>
        </w:rPr>
        <w:t>A member of IANPHI representing the n</w:t>
      </w:r>
      <w:r w:rsidR="007353B0">
        <w:rPr>
          <w:lang w:val="en-GB"/>
        </w:rPr>
        <w:t>ational public health institutes of EU countries</w:t>
      </w:r>
    </w:p>
    <w:p w14:paraId="6B515E65" w14:textId="6328E09B" w:rsidR="007353B0" w:rsidRPr="00F37B76" w:rsidRDefault="0050642D" w:rsidP="00BE7E4C">
      <w:pPr>
        <w:pStyle w:val="ListParagraph"/>
        <w:numPr>
          <w:ilvl w:val="0"/>
          <w:numId w:val="18"/>
        </w:numPr>
        <w:rPr>
          <w:lang w:val="en-GB"/>
        </w:rPr>
      </w:pPr>
      <w:r>
        <w:rPr>
          <w:lang w:val="en-GB"/>
        </w:rPr>
        <w:t>A representative</w:t>
      </w:r>
      <w:r w:rsidR="007353B0">
        <w:rPr>
          <w:lang w:val="en-GB"/>
        </w:rPr>
        <w:t xml:space="preserve"> of the</w:t>
      </w:r>
      <w:r w:rsidR="0033336A">
        <w:rPr>
          <w:lang w:val="en-GB"/>
        </w:rPr>
        <w:t xml:space="preserve"> two types of</w:t>
      </w:r>
      <w:r w:rsidR="007353B0">
        <w:rPr>
          <w:lang w:val="en-GB"/>
        </w:rPr>
        <w:t xml:space="preserve"> </w:t>
      </w:r>
      <w:r w:rsidR="000B1A46">
        <w:rPr>
          <w:lang w:val="en-GB"/>
        </w:rPr>
        <w:t>nodes</w:t>
      </w:r>
      <w:r w:rsidR="0033336A">
        <w:rPr>
          <w:lang w:val="en-GB"/>
        </w:rPr>
        <w:t>: domain specific nodes and national nodes</w:t>
      </w:r>
      <w:r w:rsidR="00973506">
        <w:rPr>
          <w:lang w:val="en-GB"/>
        </w:rPr>
        <w:t>.</w:t>
      </w:r>
    </w:p>
    <w:p w14:paraId="544759E7" w14:textId="77777777" w:rsidR="00BE7E4C" w:rsidRPr="00D823D0" w:rsidRDefault="00BE7E4C" w:rsidP="001857F4">
      <w:pPr>
        <w:rPr>
          <w:rFonts w:ascii="Times New Roman" w:hAnsi="Times New Roman" w:cs="Times New Roman"/>
          <w:sz w:val="24"/>
          <w:szCs w:val="24"/>
          <w:lang w:val="en-GB"/>
        </w:rPr>
      </w:pPr>
    </w:p>
    <w:p w14:paraId="05DBC977" w14:textId="77777777" w:rsidR="00587EB1" w:rsidRPr="00D87086" w:rsidRDefault="00587EB1" w:rsidP="00265AAA">
      <w:pPr>
        <w:pStyle w:val="Heading3"/>
        <w:tabs>
          <w:tab w:val="left" w:pos="540"/>
        </w:tabs>
        <w:spacing w:line="288" w:lineRule="auto"/>
        <w:ind w:left="720" w:hanging="720"/>
        <w:rPr>
          <w:lang w:val="en-GB"/>
        </w:rPr>
      </w:pPr>
      <w:bookmarkStart w:id="25" w:name="_Toc459388354"/>
      <w:bookmarkStart w:id="26" w:name="_Toc469063808"/>
      <w:r w:rsidRPr="00D87086">
        <w:rPr>
          <w:lang w:val="en-GB"/>
        </w:rPr>
        <w:t>Operative</w:t>
      </w:r>
      <w:bookmarkEnd w:id="25"/>
      <w:bookmarkEnd w:id="26"/>
    </w:p>
    <w:p w14:paraId="5BCC8550" w14:textId="77777777" w:rsidR="00587EB1" w:rsidRPr="00D87086" w:rsidRDefault="00587EB1" w:rsidP="00890E38">
      <w:pPr>
        <w:pStyle w:val="Heading4"/>
        <w:numPr>
          <w:ilvl w:val="0"/>
          <w:numId w:val="22"/>
        </w:numPr>
        <w:spacing w:after="240" w:line="288" w:lineRule="auto"/>
        <w:rPr>
          <w:lang w:val="en-GB"/>
        </w:rPr>
      </w:pPr>
      <w:r w:rsidRPr="00D87086">
        <w:rPr>
          <w:lang w:val="en-GB"/>
        </w:rPr>
        <w:t>The Network Committee</w:t>
      </w:r>
    </w:p>
    <w:p w14:paraId="502338E9" w14:textId="77777777" w:rsidR="005E1D30" w:rsidRDefault="00587EB1" w:rsidP="00FC3B60">
      <w:pPr>
        <w:rPr>
          <w:lang w:val="en-GB"/>
        </w:rPr>
      </w:pPr>
      <w:r w:rsidRPr="00D87086">
        <w:rPr>
          <w:lang w:val="en-GB"/>
        </w:rPr>
        <w:t xml:space="preserve">The Network Committee </w:t>
      </w:r>
      <w:r w:rsidR="00881C0E">
        <w:rPr>
          <w:lang w:val="en-GB"/>
        </w:rPr>
        <w:t>consists of a representative of</w:t>
      </w:r>
      <w:r w:rsidR="00121A6C">
        <w:rPr>
          <w:lang w:val="en-GB"/>
        </w:rPr>
        <w:t xml:space="preserve"> the </w:t>
      </w:r>
      <w:r w:rsidR="00FE46EE">
        <w:rPr>
          <w:lang w:val="en-GB"/>
        </w:rPr>
        <w:t xml:space="preserve">nodes </w:t>
      </w:r>
      <w:r w:rsidR="00265AAA">
        <w:rPr>
          <w:lang w:val="en-GB"/>
        </w:rPr>
        <w:t>that are operational in the HIREP-ERIC (</w:t>
      </w:r>
      <w:proofErr w:type="spellStart"/>
      <w:r w:rsidR="00130C2B">
        <w:rPr>
          <w:lang w:val="en-GB"/>
        </w:rPr>
        <w:t>cfr</w:t>
      </w:r>
      <w:proofErr w:type="spellEnd"/>
      <w:r w:rsidR="00130C2B">
        <w:rPr>
          <w:lang w:val="en-GB"/>
        </w:rPr>
        <w:t xml:space="preserve">. </w:t>
      </w:r>
      <w:proofErr w:type="gramStart"/>
      <w:r w:rsidR="00130C2B">
        <w:rPr>
          <w:lang w:val="en-GB"/>
        </w:rPr>
        <w:t>G.</w:t>
      </w:r>
      <w:r w:rsidR="00265AAA">
        <w:rPr>
          <w:lang w:val="en-GB"/>
        </w:rPr>
        <w:t xml:space="preserve"> organisational structure).</w:t>
      </w:r>
      <w:proofErr w:type="gramEnd"/>
      <w:r w:rsidR="00265AAA">
        <w:rPr>
          <w:lang w:val="en-GB"/>
        </w:rPr>
        <w:t xml:space="preserve"> </w:t>
      </w:r>
      <w:r w:rsidRPr="00D87086">
        <w:rPr>
          <w:lang w:val="en-GB"/>
        </w:rPr>
        <w:t>The Network Committee shall be responsible for scientific activities related to HIREP-ERIC</w:t>
      </w:r>
      <w:r w:rsidR="00265AAA">
        <w:rPr>
          <w:lang w:val="en-GB"/>
        </w:rPr>
        <w:t xml:space="preserve">. The Committee will meet to </w:t>
      </w:r>
      <w:r w:rsidRPr="00D87086">
        <w:rPr>
          <w:lang w:val="en-GB"/>
        </w:rPr>
        <w:t xml:space="preserve">maintain coherence and consistency across </w:t>
      </w:r>
      <w:r w:rsidR="00D3427D">
        <w:rPr>
          <w:lang w:val="en-GB"/>
        </w:rPr>
        <w:t xml:space="preserve">the </w:t>
      </w:r>
      <w:r w:rsidR="00FE46EE">
        <w:rPr>
          <w:lang w:val="en-GB"/>
        </w:rPr>
        <w:t>nodes</w:t>
      </w:r>
      <w:r w:rsidR="00D3427D">
        <w:rPr>
          <w:lang w:val="en-GB"/>
        </w:rPr>
        <w:t xml:space="preserve">, to discuss issues related to the activities of the </w:t>
      </w:r>
      <w:r w:rsidR="00FE46EE">
        <w:rPr>
          <w:lang w:val="en-GB"/>
        </w:rPr>
        <w:t>nodes</w:t>
      </w:r>
      <w:r w:rsidR="00D3427D">
        <w:rPr>
          <w:lang w:val="en-GB"/>
        </w:rPr>
        <w:t xml:space="preserve">, and to interact with the </w:t>
      </w:r>
      <w:r w:rsidR="00D3427D" w:rsidRPr="00D87086">
        <w:rPr>
          <w:lang w:val="en-GB"/>
        </w:rPr>
        <w:t>Central Executive Management Office</w:t>
      </w:r>
      <w:r w:rsidRPr="00D87086">
        <w:rPr>
          <w:lang w:val="en-GB"/>
        </w:rPr>
        <w:t xml:space="preserve">. </w:t>
      </w:r>
      <w:r w:rsidR="000C5F95">
        <w:rPr>
          <w:lang w:val="en-GB"/>
        </w:rPr>
        <w:t xml:space="preserve">The Committee may support the Central Executive Management Office in developing the programme, scientific strategy and grant-funding opportunities. </w:t>
      </w:r>
    </w:p>
    <w:p w14:paraId="724B1D3B" w14:textId="77777777" w:rsidR="001857F4" w:rsidRDefault="001857F4" w:rsidP="00890E38">
      <w:pPr>
        <w:pStyle w:val="Heading4"/>
        <w:numPr>
          <w:ilvl w:val="0"/>
          <w:numId w:val="22"/>
        </w:numPr>
        <w:spacing w:after="240" w:line="288" w:lineRule="auto"/>
        <w:rPr>
          <w:lang w:val="en-GB"/>
        </w:rPr>
      </w:pPr>
      <w:r>
        <w:rPr>
          <w:lang w:val="en-GB"/>
        </w:rPr>
        <w:t xml:space="preserve">Organisational structure </w:t>
      </w:r>
    </w:p>
    <w:p w14:paraId="46AD516D" w14:textId="47565440" w:rsidR="00E81821" w:rsidRDefault="001857F4" w:rsidP="00E81821">
      <w:pPr>
        <w:rPr>
          <w:lang w:val="en-GB"/>
        </w:rPr>
      </w:pPr>
      <w:r w:rsidRPr="004B3D92">
        <w:rPr>
          <w:lang w:val="en-GB"/>
        </w:rPr>
        <w:t xml:space="preserve">The HIREP-ERIC </w:t>
      </w:r>
      <w:r>
        <w:rPr>
          <w:lang w:val="en-GB"/>
        </w:rPr>
        <w:t xml:space="preserve">will operate </w:t>
      </w:r>
      <w:r w:rsidR="00D3427D">
        <w:rPr>
          <w:lang w:val="en-GB"/>
        </w:rPr>
        <w:t>as a distributed research infrastructure</w:t>
      </w:r>
      <w:r w:rsidR="00E81821">
        <w:rPr>
          <w:lang w:val="en-GB"/>
        </w:rPr>
        <w:t xml:space="preserve">. It is structured on the basis of a </w:t>
      </w:r>
      <w:r w:rsidR="001C64AA">
        <w:rPr>
          <w:lang w:val="en-GB"/>
        </w:rPr>
        <w:t xml:space="preserve">decentralised </w:t>
      </w:r>
      <w:r w:rsidR="00FE46EE">
        <w:rPr>
          <w:lang w:val="en-GB"/>
        </w:rPr>
        <w:t>node</w:t>
      </w:r>
      <w:r w:rsidR="00E81821">
        <w:rPr>
          <w:lang w:val="en-GB"/>
        </w:rPr>
        <w:t xml:space="preserve"> model. </w:t>
      </w:r>
      <w:r w:rsidR="00E81821" w:rsidRPr="00E400EB">
        <w:rPr>
          <w:lang w:val="en-GB"/>
        </w:rPr>
        <w:t xml:space="preserve">The coordination of </w:t>
      </w:r>
      <w:r w:rsidR="00E81821">
        <w:rPr>
          <w:lang w:val="en-GB"/>
        </w:rPr>
        <w:t>HIREP-ERIC</w:t>
      </w:r>
      <w:r w:rsidR="00E81821" w:rsidRPr="00E400EB">
        <w:rPr>
          <w:lang w:val="en-GB"/>
        </w:rPr>
        <w:t xml:space="preserve">’s mission and activities is executed by the </w:t>
      </w:r>
      <w:r w:rsidR="00E81821">
        <w:rPr>
          <w:lang w:val="en-GB"/>
        </w:rPr>
        <w:t>Central Executive Management Office</w:t>
      </w:r>
      <w:r w:rsidR="00E81821" w:rsidRPr="00E400EB">
        <w:rPr>
          <w:lang w:val="en-GB"/>
        </w:rPr>
        <w:t xml:space="preserve">. </w:t>
      </w:r>
      <w:r w:rsidR="00E81821">
        <w:rPr>
          <w:lang w:val="en-GB"/>
        </w:rPr>
        <w:t>It</w:t>
      </w:r>
      <w:r w:rsidR="00E81821" w:rsidRPr="00E400EB">
        <w:rPr>
          <w:lang w:val="en-GB"/>
        </w:rPr>
        <w:t xml:space="preserve"> handles the organisational,</w:t>
      </w:r>
      <w:r w:rsidR="00E81821">
        <w:rPr>
          <w:lang w:val="en-GB"/>
        </w:rPr>
        <w:t xml:space="preserve"> </w:t>
      </w:r>
      <w:r w:rsidR="00E81821" w:rsidRPr="00E400EB">
        <w:rPr>
          <w:lang w:val="en-GB"/>
        </w:rPr>
        <w:t xml:space="preserve">technical and infrastructure interactions with the </w:t>
      </w:r>
      <w:r w:rsidR="00E81821">
        <w:rPr>
          <w:lang w:val="en-GB"/>
        </w:rPr>
        <w:t>HIREP-ERIC</w:t>
      </w:r>
      <w:r w:rsidR="00E81821" w:rsidRPr="00E400EB">
        <w:rPr>
          <w:lang w:val="en-GB"/>
        </w:rPr>
        <w:t xml:space="preserve"> </w:t>
      </w:r>
      <w:r w:rsidR="00FE46EE">
        <w:rPr>
          <w:lang w:val="en-GB"/>
        </w:rPr>
        <w:t>nodes</w:t>
      </w:r>
      <w:r w:rsidR="00E81821" w:rsidRPr="00E400EB">
        <w:rPr>
          <w:lang w:val="en-GB"/>
        </w:rPr>
        <w:t xml:space="preserve"> and other infrastructures.</w:t>
      </w:r>
    </w:p>
    <w:p w14:paraId="03B06FB0" w14:textId="77777777" w:rsidR="007353B0" w:rsidRDefault="007353B0" w:rsidP="007353B0">
      <w:pPr>
        <w:rPr>
          <w:lang w:val="en-GB"/>
        </w:rPr>
      </w:pPr>
      <w:r>
        <w:rPr>
          <w:lang w:val="en-GB"/>
        </w:rPr>
        <w:t>The HIREP-ERIC will operate through two types of nodes:</w:t>
      </w:r>
    </w:p>
    <w:p w14:paraId="22B9649E" w14:textId="7D8E7DD5" w:rsidR="007353B0" w:rsidRDefault="007353B0" w:rsidP="007353B0">
      <w:pPr>
        <w:pStyle w:val="ListParagraph"/>
        <w:numPr>
          <w:ilvl w:val="0"/>
          <w:numId w:val="19"/>
        </w:numPr>
        <w:rPr>
          <w:lang w:val="en-GB"/>
        </w:rPr>
      </w:pPr>
      <w:r w:rsidRPr="005E1D30">
        <w:rPr>
          <w:lang w:val="en-GB"/>
        </w:rPr>
        <w:lastRenderedPageBreak/>
        <w:t xml:space="preserve">The national </w:t>
      </w:r>
      <w:r>
        <w:rPr>
          <w:lang w:val="en-GB"/>
        </w:rPr>
        <w:t>nodes</w:t>
      </w:r>
      <w:r w:rsidRPr="005E1D30">
        <w:rPr>
          <w:lang w:val="en-GB"/>
        </w:rPr>
        <w:t xml:space="preserve">. These are located in </w:t>
      </w:r>
      <w:r>
        <w:rPr>
          <w:lang w:val="en-GB"/>
        </w:rPr>
        <w:t>EU countries</w:t>
      </w:r>
      <w:r w:rsidRPr="005E1D30">
        <w:rPr>
          <w:lang w:val="en-GB"/>
        </w:rPr>
        <w:t xml:space="preserve"> </w:t>
      </w:r>
      <w:r>
        <w:rPr>
          <w:lang w:val="en-GB"/>
        </w:rPr>
        <w:t xml:space="preserve">national counterparts </w:t>
      </w:r>
      <w:r w:rsidRPr="005E1D30">
        <w:rPr>
          <w:lang w:val="en-GB"/>
        </w:rPr>
        <w:t>that are member of the HIREP-ERIC</w:t>
      </w:r>
      <w:r>
        <w:rPr>
          <w:lang w:val="en-GB"/>
        </w:rPr>
        <w:t>.</w:t>
      </w:r>
      <w:r w:rsidRPr="005E1D30">
        <w:rPr>
          <w:lang w:val="en-GB"/>
        </w:rPr>
        <w:t xml:space="preserve"> </w:t>
      </w:r>
      <w:r>
        <w:rPr>
          <w:lang w:val="en-GB"/>
        </w:rPr>
        <w:t>Each member of the HIREP-ERIC will designate an</w:t>
      </w:r>
      <w:r w:rsidRPr="005E1D30">
        <w:rPr>
          <w:lang w:val="en-GB"/>
        </w:rPr>
        <w:t xml:space="preserve"> institution that </w:t>
      </w:r>
      <w:r w:rsidR="00893C0F">
        <w:rPr>
          <w:lang w:val="en-GB"/>
        </w:rPr>
        <w:t xml:space="preserve">coordinates a consortium of national institutes working on health information. It </w:t>
      </w:r>
      <w:r>
        <w:rPr>
          <w:lang w:val="en-GB"/>
        </w:rPr>
        <w:t>will provide national health information and interact with the different entities of the HIREP-ERIC. The national node will thus have a dual role as a</w:t>
      </w:r>
      <w:r w:rsidRPr="005E1D30">
        <w:rPr>
          <w:lang w:val="en-GB"/>
        </w:rPr>
        <w:t xml:space="preserve"> </w:t>
      </w:r>
      <w:r>
        <w:rPr>
          <w:lang w:val="en-GB"/>
        </w:rPr>
        <w:t xml:space="preserve">national </w:t>
      </w:r>
      <w:r w:rsidRPr="005E1D30">
        <w:rPr>
          <w:lang w:val="en-GB"/>
        </w:rPr>
        <w:t>health information provider and health information coordinat</w:t>
      </w:r>
      <w:r>
        <w:rPr>
          <w:lang w:val="en-GB"/>
        </w:rPr>
        <w:t>or. The national nodes work on cross-cutting issues. T</w:t>
      </w:r>
      <w:r w:rsidRPr="005E1D30">
        <w:rPr>
          <w:lang w:val="en-GB"/>
        </w:rPr>
        <w:t xml:space="preserve">he number of national </w:t>
      </w:r>
      <w:r>
        <w:rPr>
          <w:lang w:val="en-GB"/>
        </w:rPr>
        <w:t xml:space="preserve">nodes </w:t>
      </w:r>
      <w:r w:rsidRPr="005E1D30">
        <w:rPr>
          <w:lang w:val="en-GB"/>
        </w:rPr>
        <w:t xml:space="preserve">is fixed. </w:t>
      </w:r>
    </w:p>
    <w:p w14:paraId="3D55C549" w14:textId="77777777" w:rsidR="007353B0" w:rsidRPr="005E1D30" w:rsidRDefault="007353B0" w:rsidP="007353B0">
      <w:pPr>
        <w:pStyle w:val="ListParagraph"/>
        <w:numPr>
          <w:ilvl w:val="0"/>
          <w:numId w:val="0"/>
        </w:numPr>
        <w:ind w:left="720"/>
        <w:rPr>
          <w:lang w:val="en-GB"/>
        </w:rPr>
      </w:pPr>
    </w:p>
    <w:p w14:paraId="1E7E4ABA" w14:textId="619AE092" w:rsidR="007353B0" w:rsidRDefault="007353B0" w:rsidP="007353B0">
      <w:pPr>
        <w:pStyle w:val="ListParagraph"/>
        <w:numPr>
          <w:ilvl w:val="0"/>
          <w:numId w:val="19"/>
        </w:numPr>
        <w:spacing w:after="240"/>
        <w:rPr>
          <w:lang w:val="en-GB"/>
        </w:rPr>
      </w:pPr>
      <w:r w:rsidRPr="00CE6A89">
        <w:rPr>
          <w:lang w:val="en-GB"/>
        </w:rPr>
        <w:t xml:space="preserve">The domain specific </w:t>
      </w:r>
      <w:r>
        <w:rPr>
          <w:lang w:val="en-GB"/>
        </w:rPr>
        <w:t>nodes</w:t>
      </w:r>
      <w:r w:rsidRPr="00CE6A89">
        <w:rPr>
          <w:lang w:val="en-GB"/>
        </w:rPr>
        <w:t xml:space="preserve">. These are </w:t>
      </w:r>
      <w:r w:rsidR="00042183">
        <w:rPr>
          <w:lang w:val="en-GB"/>
        </w:rPr>
        <w:t>network coordinators in health information domains. They</w:t>
      </w:r>
      <w:r w:rsidRPr="00CE6A89">
        <w:rPr>
          <w:lang w:val="en-GB"/>
        </w:rPr>
        <w:t xml:space="preserve"> are content specific</w:t>
      </w:r>
      <w:r w:rsidRPr="000C5F95">
        <w:rPr>
          <w:lang w:val="en-GB"/>
        </w:rPr>
        <w:t xml:space="preserve"> </w:t>
      </w:r>
      <w:r>
        <w:rPr>
          <w:lang w:val="en-GB"/>
        </w:rPr>
        <w:t xml:space="preserve">and </w:t>
      </w:r>
      <w:r w:rsidRPr="00CE6A89">
        <w:rPr>
          <w:lang w:val="en-GB"/>
        </w:rPr>
        <w:t xml:space="preserve">respond to </w:t>
      </w:r>
      <w:r>
        <w:rPr>
          <w:lang w:val="en-GB"/>
        </w:rPr>
        <w:t>current priorities and projects</w:t>
      </w:r>
      <w:r w:rsidRPr="00CE6A89">
        <w:rPr>
          <w:lang w:val="en-GB"/>
        </w:rPr>
        <w:t xml:space="preserve">. The domain specific </w:t>
      </w:r>
      <w:r>
        <w:rPr>
          <w:lang w:val="en-GB"/>
        </w:rPr>
        <w:t xml:space="preserve">nodes </w:t>
      </w:r>
      <w:r w:rsidRPr="00CE6A89">
        <w:rPr>
          <w:lang w:val="en-GB"/>
        </w:rPr>
        <w:t xml:space="preserve">carry out deep analysis in area for which capacity does not always lie at national level. They can liaise with national </w:t>
      </w:r>
      <w:r>
        <w:rPr>
          <w:lang w:val="en-GB"/>
        </w:rPr>
        <w:t xml:space="preserve">nodes </w:t>
      </w:r>
      <w:r w:rsidRPr="00CE6A89">
        <w:rPr>
          <w:lang w:val="en-GB"/>
        </w:rPr>
        <w:t xml:space="preserve">providing guidance on how to collect and analyse data at national level, and through this, harmonise activities. The </w:t>
      </w:r>
      <w:r>
        <w:rPr>
          <w:lang w:val="en-GB"/>
        </w:rPr>
        <w:t>node</w:t>
      </w:r>
      <w:r w:rsidRPr="00CE6A89">
        <w:rPr>
          <w:lang w:val="en-GB"/>
        </w:rPr>
        <w:t xml:space="preserve"> is the coordinating partner in a domain specific network. Individual </w:t>
      </w:r>
      <w:r>
        <w:rPr>
          <w:lang w:val="en-GB"/>
        </w:rPr>
        <w:t>EU countries</w:t>
      </w:r>
      <w:r w:rsidRPr="00CE6A89">
        <w:rPr>
          <w:lang w:val="en-GB"/>
        </w:rPr>
        <w:t xml:space="preserve"> may opt to coordinate one or more </w:t>
      </w:r>
      <w:r>
        <w:rPr>
          <w:lang w:val="en-GB"/>
        </w:rPr>
        <w:t xml:space="preserve">domain </w:t>
      </w:r>
      <w:r w:rsidRPr="00CE6A89">
        <w:rPr>
          <w:lang w:val="en-GB"/>
        </w:rPr>
        <w:t xml:space="preserve">specific </w:t>
      </w:r>
      <w:r>
        <w:rPr>
          <w:lang w:val="en-GB"/>
        </w:rPr>
        <w:t>node</w:t>
      </w:r>
      <w:r w:rsidRPr="00CE6A89">
        <w:rPr>
          <w:lang w:val="en-GB"/>
        </w:rPr>
        <w:t xml:space="preserve">. The numbers of domain specific </w:t>
      </w:r>
      <w:r>
        <w:rPr>
          <w:lang w:val="en-GB"/>
        </w:rPr>
        <w:t xml:space="preserve">nodes </w:t>
      </w:r>
      <w:r w:rsidRPr="00CE6A89">
        <w:rPr>
          <w:lang w:val="en-GB"/>
        </w:rPr>
        <w:t>are variable.</w:t>
      </w:r>
    </w:p>
    <w:p w14:paraId="6E0586CD" w14:textId="77777777" w:rsidR="007353B0" w:rsidRPr="000835E6" w:rsidRDefault="007353B0" w:rsidP="007353B0">
      <w:pPr>
        <w:rPr>
          <w:lang w:val="en-GB"/>
        </w:rPr>
      </w:pPr>
      <w:r>
        <w:rPr>
          <w:lang w:val="en-GB"/>
        </w:rPr>
        <w:t>A</w:t>
      </w:r>
      <w:r w:rsidRPr="000835E6">
        <w:rPr>
          <w:lang w:val="en-GB"/>
        </w:rPr>
        <w:t xml:space="preserve"> National Node may decide to be specialized and become on top of its responsibility as a national node a Domain specific Node.</w:t>
      </w:r>
    </w:p>
    <w:p w14:paraId="02199925" w14:textId="77777777" w:rsidR="00E81821" w:rsidRDefault="00E81821" w:rsidP="00E81821">
      <w:pPr>
        <w:spacing w:after="0"/>
        <w:rPr>
          <w:lang w:val="en-GB"/>
        </w:rPr>
      </w:pPr>
      <w:r w:rsidRPr="00E400EB">
        <w:rPr>
          <w:lang w:val="en-GB"/>
        </w:rPr>
        <w:t xml:space="preserve">The </w:t>
      </w:r>
      <w:r>
        <w:rPr>
          <w:lang w:val="en-GB"/>
        </w:rPr>
        <w:t xml:space="preserve">HIREP-ERIC </w:t>
      </w:r>
      <w:r w:rsidR="00FE46EE">
        <w:rPr>
          <w:lang w:val="en-GB"/>
        </w:rPr>
        <w:t>nodes</w:t>
      </w:r>
      <w:r w:rsidRPr="00E400EB">
        <w:rPr>
          <w:lang w:val="en-GB"/>
        </w:rPr>
        <w:t>, national or international research institutes, which enter into a collaboration</w:t>
      </w:r>
      <w:r>
        <w:rPr>
          <w:lang w:val="en-GB"/>
        </w:rPr>
        <w:t xml:space="preserve"> </w:t>
      </w:r>
      <w:r w:rsidRPr="00E400EB">
        <w:rPr>
          <w:lang w:val="en-GB"/>
        </w:rPr>
        <w:t xml:space="preserve">agreement with the </w:t>
      </w:r>
      <w:r>
        <w:rPr>
          <w:lang w:val="en-GB"/>
        </w:rPr>
        <w:t>HIREP-ERIC</w:t>
      </w:r>
      <w:r w:rsidRPr="00E400EB">
        <w:rPr>
          <w:lang w:val="en-GB"/>
        </w:rPr>
        <w:t>, provide the delivery of technical services and interoperability.</w:t>
      </w:r>
      <w:r>
        <w:rPr>
          <w:lang w:val="en-GB"/>
        </w:rPr>
        <w:t xml:space="preserve"> </w:t>
      </w:r>
      <w:r w:rsidRPr="00E400EB">
        <w:rPr>
          <w:lang w:val="en-GB"/>
        </w:rPr>
        <w:t xml:space="preserve">Each </w:t>
      </w:r>
      <w:r>
        <w:rPr>
          <w:lang w:val="en-GB"/>
        </w:rPr>
        <w:t xml:space="preserve">HIREP-ERIC </w:t>
      </w:r>
      <w:r w:rsidR="00FE46EE">
        <w:rPr>
          <w:lang w:val="en-GB"/>
        </w:rPr>
        <w:t>node</w:t>
      </w:r>
      <w:r w:rsidRPr="00E400EB">
        <w:rPr>
          <w:lang w:val="en-GB"/>
        </w:rPr>
        <w:t xml:space="preserve"> is hosted by an institute that has its own legal personality and provides a</w:t>
      </w:r>
      <w:r>
        <w:rPr>
          <w:lang w:val="en-GB"/>
        </w:rPr>
        <w:t xml:space="preserve"> </w:t>
      </w:r>
      <w:r w:rsidRPr="00E400EB">
        <w:rPr>
          <w:lang w:val="en-GB"/>
        </w:rPr>
        <w:t xml:space="preserve">defined set of services on behalf of or for </w:t>
      </w:r>
      <w:r>
        <w:rPr>
          <w:lang w:val="en-GB"/>
        </w:rPr>
        <w:t>the HIREP-ERIC</w:t>
      </w:r>
      <w:r w:rsidRPr="00E400EB">
        <w:rPr>
          <w:lang w:val="en-GB"/>
        </w:rPr>
        <w:t>. These services and the terms and conditions of</w:t>
      </w:r>
      <w:r>
        <w:rPr>
          <w:lang w:val="en-GB"/>
        </w:rPr>
        <w:t xml:space="preserve"> </w:t>
      </w:r>
      <w:r w:rsidRPr="00E400EB">
        <w:rPr>
          <w:lang w:val="en-GB"/>
        </w:rPr>
        <w:t xml:space="preserve">their delivery are specified in Collaboration Agreements entered into by the </w:t>
      </w:r>
      <w:r>
        <w:rPr>
          <w:lang w:val="en-GB"/>
        </w:rPr>
        <w:t>HIREP-ERIC</w:t>
      </w:r>
      <w:r w:rsidRPr="00E400EB">
        <w:rPr>
          <w:lang w:val="en-GB"/>
        </w:rPr>
        <w:t xml:space="preserve"> </w:t>
      </w:r>
      <w:r w:rsidR="00FE46EE">
        <w:rPr>
          <w:lang w:val="en-GB"/>
        </w:rPr>
        <w:t>nodes</w:t>
      </w:r>
      <w:r w:rsidRPr="00E400EB">
        <w:rPr>
          <w:lang w:val="en-GB"/>
        </w:rPr>
        <w:t xml:space="preserve"> and the</w:t>
      </w:r>
      <w:r>
        <w:rPr>
          <w:lang w:val="en-GB"/>
        </w:rPr>
        <w:t xml:space="preserve"> Central Executive Management Office</w:t>
      </w:r>
      <w:r w:rsidRPr="00E400EB">
        <w:rPr>
          <w:lang w:val="en-GB"/>
        </w:rPr>
        <w:t xml:space="preserve">. </w:t>
      </w:r>
    </w:p>
    <w:p w14:paraId="2B14CC0D" w14:textId="64D448ED" w:rsidR="00E81821" w:rsidRDefault="00E81821" w:rsidP="00E81821">
      <w:pPr>
        <w:spacing w:after="0"/>
        <w:rPr>
          <w:lang w:val="en-GB"/>
        </w:rPr>
      </w:pPr>
    </w:p>
    <w:p w14:paraId="57E4DDA0" w14:textId="09F1C130" w:rsidR="00E81821" w:rsidRDefault="000835E6" w:rsidP="00E81821">
      <w:pPr>
        <w:spacing w:after="0"/>
        <w:rPr>
          <w:lang w:val="en-GB"/>
        </w:rPr>
      </w:pPr>
      <w:r>
        <w:rPr>
          <w:noProof/>
          <w:lang w:val="en-GB" w:eastAsia="en-GB"/>
        </w:rPr>
        <w:drawing>
          <wp:inline distT="0" distB="0" distL="0" distR="0" wp14:anchorId="49737329" wp14:editId="612BF2B9">
            <wp:extent cx="4199860" cy="265682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07088" cy="2661395"/>
                    </a:xfrm>
                    <a:prstGeom prst="rect">
                      <a:avLst/>
                    </a:prstGeom>
                    <a:noFill/>
                  </pic:spPr>
                </pic:pic>
              </a:graphicData>
            </a:graphic>
          </wp:inline>
        </w:drawing>
      </w:r>
    </w:p>
    <w:p w14:paraId="021717DF" w14:textId="77777777" w:rsidR="00E81821" w:rsidRDefault="00E81821" w:rsidP="00E81821">
      <w:pPr>
        <w:rPr>
          <w:lang w:val="en-GB"/>
        </w:rPr>
      </w:pPr>
      <w:proofErr w:type="gramStart"/>
      <w:r>
        <w:rPr>
          <w:lang w:val="en-GB"/>
        </w:rPr>
        <w:t>Figure 6.</w:t>
      </w:r>
      <w:proofErr w:type="gramEnd"/>
      <w:r>
        <w:rPr>
          <w:lang w:val="en-GB"/>
        </w:rPr>
        <w:t xml:space="preserve"> HIREP-ERIC organisational structure</w:t>
      </w:r>
    </w:p>
    <w:p w14:paraId="30306079" w14:textId="77777777" w:rsidR="00471E78" w:rsidRPr="00471E78" w:rsidRDefault="00471E78" w:rsidP="00471E78">
      <w:pPr>
        <w:rPr>
          <w:lang w:val="en-GB"/>
        </w:rPr>
      </w:pPr>
    </w:p>
    <w:p w14:paraId="62976DF9" w14:textId="6DD42C58" w:rsidR="000723A6" w:rsidRDefault="00471E78" w:rsidP="000723A6">
      <w:pPr>
        <w:pStyle w:val="Heading2"/>
        <w:rPr>
          <w:lang w:val="en-GB"/>
        </w:rPr>
      </w:pPr>
      <w:bookmarkStart w:id="27" w:name="_Toc469063809"/>
      <w:r>
        <w:rPr>
          <w:lang w:val="en-GB"/>
        </w:rPr>
        <w:lastRenderedPageBreak/>
        <w:t>Interaction with existing institutions</w:t>
      </w:r>
      <w:bookmarkEnd w:id="27"/>
    </w:p>
    <w:p w14:paraId="3DB19E3D" w14:textId="77777777" w:rsidR="00D823D0" w:rsidRDefault="001E17C7" w:rsidP="00D823D0">
      <w:pPr>
        <w:rPr>
          <w:lang w:val="en-GB"/>
        </w:rPr>
      </w:pPr>
      <w:bookmarkStart w:id="28" w:name="_Toc469063810"/>
      <w:r>
        <w:rPr>
          <w:lang w:val="en-GB"/>
        </w:rPr>
        <w:t xml:space="preserve">The HIREP-ERIC finds it important to interact with and connect existing institutions, especially </w:t>
      </w:r>
      <w:r w:rsidR="00407156">
        <w:rPr>
          <w:lang w:val="en-GB"/>
        </w:rPr>
        <w:t xml:space="preserve">with the aim </w:t>
      </w:r>
      <w:r>
        <w:rPr>
          <w:lang w:val="en-GB"/>
        </w:rPr>
        <w:t xml:space="preserve">to reduce duplication. </w:t>
      </w:r>
      <w:r w:rsidR="000B1A46">
        <w:rPr>
          <w:lang w:val="en-GB"/>
        </w:rPr>
        <w:t xml:space="preserve">The main interaction with existing institutions will be organised through the consultation platform. Key stakeholders in </w:t>
      </w:r>
      <w:r w:rsidR="0050642D">
        <w:rPr>
          <w:lang w:val="en-GB"/>
        </w:rPr>
        <w:t xml:space="preserve">the </w:t>
      </w:r>
      <w:r w:rsidR="000B1A46">
        <w:rPr>
          <w:lang w:val="en-GB"/>
        </w:rPr>
        <w:t xml:space="preserve">European health information sphere will be connected as described above. </w:t>
      </w:r>
      <w:r>
        <w:rPr>
          <w:lang w:val="en-GB"/>
        </w:rPr>
        <w:t xml:space="preserve">Also, as described in the tasks, the HIREP-ERIC will be the facilitator for data availability and meta-data to be used in different organisations and fine-tune the data to respond to the needs of the organisation the HIREP-ERIC serves.  Some stakeholders may additionally have specific interactions with the HIREP-ERIC </w:t>
      </w:r>
      <w:r w:rsidR="00407156">
        <w:rPr>
          <w:lang w:val="en-GB"/>
        </w:rPr>
        <w:t>some examples are</w:t>
      </w:r>
      <w:r>
        <w:rPr>
          <w:lang w:val="en-GB"/>
        </w:rPr>
        <w:t xml:space="preserve"> described below</w:t>
      </w:r>
      <w:r w:rsidR="00407156">
        <w:rPr>
          <w:lang w:val="en-GB"/>
        </w:rPr>
        <w:t xml:space="preserve"> and others may be further developed once the HIREP-ERIC is set-up</w:t>
      </w:r>
      <w:r>
        <w:rPr>
          <w:lang w:val="en-GB"/>
        </w:rPr>
        <w:t>.</w:t>
      </w:r>
    </w:p>
    <w:p w14:paraId="3870967A" w14:textId="62106AD1" w:rsidR="00097CF6" w:rsidRDefault="00097CF6" w:rsidP="00D823D0">
      <w:pPr>
        <w:pStyle w:val="Heading3"/>
        <w:rPr>
          <w:lang w:val="en-GB"/>
        </w:rPr>
      </w:pPr>
      <w:r>
        <w:rPr>
          <w:lang w:val="en-GB"/>
        </w:rPr>
        <w:t>Expert Group on Health Information (EGHI)</w:t>
      </w:r>
      <w:bookmarkEnd w:id="28"/>
      <w:r w:rsidR="00407156" w:rsidRPr="00407156">
        <w:rPr>
          <w:lang w:val="en-GB"/>
        </w:rPr>
        <w:t xml:space="preserve"> </w:t>
      </w:r>
      <w:r w:rsidR="00407156">
        <w:rPr>
          <w:lang w:val="en-GB"/>
        </w:rPr>
        <w:t xml:space="preserve">and </w:t>
      </w:r>
      <w:r w:rsidR="00407156" w:rsidRPr="00407156">
        <w:rPr>
          <w:lang w:val="en-GB"/>
        </w:rPr>
        <w:t>the Expert Group on Health Systems Performance Assessment (HSPA)</w:t>
      </w:r>
    </w:p>
    <w:p w14:paraId="52499239" w14:textId="43B74FC5" w:rsidR="00097CF6" w:rsidRDefault="00097CF6" w:rsidP="00097CF6">
      <w:pPr>
        <w:rPr>
          <w:lang w:val="en-GB"/>
        </w:rPr>
      </w:pPr>
      <w:r w:rsidRPr="00097CF6">
        <w:rPr>
          <w:lang w:val="en-GB"/>
        </w:rPr>
        <w:t xml:space="preserve">The Expert Group on Health Information (EGHI) </w:t>
      </w:r>
      <w:r w:rsidR="00407156">
        <w:rPr>
          <w:lang w:val="en-GB"/>
        </w:rPr>
        <w:t xml:space="preserve">and </w:t>
      </w:r>
      <w:r w:rsidR="00407156" w:rsidRPr="00407156">
        <w:rPr>
          <w:lang w:val="en-GB"/>
        </w:rPr>
        <w:t>the Expert Group on Health Systems Performance Assessment (HSPA)</w:t>
      </w:r>
      <w:r w:rsidR="00407156">
        <w:rPr>
          <w:lang w:val="en-GB"/>
        </w:rPr>
        <w:t xml:space="preserve"> </w:t>
      </w:r>
      <w:r w:rsidRPr="00097CF6">
        <w:rPr>
          <w:lang w:val="en-GB"/>
        </w:rPr>
        <w:t>is a consultative structure with representatives from EU Member States, EEA/EFTA and candidate countries as well as international organisations; to support the overall implementation mechanisms for the health strategy with regard to health information</w:t>
      </w:r>
      <w:r w:rsidR="00407156">
        <w:rPr>
          <w:lang w:val="en-GB"/>
        </w:rPr>
        <w:t xml:space="preserve"> and health system performance respectively</w:t>
      </w:r>
      <w:r w:rsidRPr="00097CF6">
        <w:rPr>
          <w:lang w:val="en-GB"/>
        </w:rPr>
        <w:t xml:space="preserve">. The </w:t>
      </w:r>
      <w:r w:rsidR="003A6FD0">
        <w:rPr>
          <w:lang w:val="en-GB"/>
        </w:rPr>
        <w:t>HIREP-</w:t>
      </w:r>
      <w:r>
        <w:rPr>
          <w:lang w:val="en-GB"/>
        </w:rPr>
        <w:t>ERIC should interact with the EGHI</w:t>
      </w:r>
      <w:r w:rsidR="00407156">
        <w:rPr>
          <w:lang w:val="en-GB"/>
        </w:rPr>
        <w:t>/HSPA</w:t>
      </w:r>
      <w:r>
        <w:rPr>
          <w:lang w:val="en-GB"/>
        </w:rPr>
        <w:t xml:space="preserve"> on regula</w:t>
      </w:r>
      <w:r w:rsidR="00BD438B">
        <w:rPr>
          <w:lang w:val="en-GB"/>
        </w:rPr>
        <w:t>r basis to enhance solutions for</w:t>
      </w:r>
      <w:r>
        <w:rPr>
          <w:lang w:val="en-GB"/>
        </w:rPr>
        <w:t xml:space="preserve"> health information</w:t>
      </w:r>
      <w:r w:rsidR="00407156">
        <w:rPr>
          <w:lang w:val="en-GB"/>
        </w:rPr>
        <w:t xml:space="preserve"> and health system performance</w:t>
      </w:r>
      <w:r>
        <w:rPr>
          <w:lang w:val="en-GB"/>
        </w:rPr>
        <w:t xml:space="preserve"> </w:t>
      </w:r>
      <w:r w:rsidR="00BD438B">
        <w:rPr>
          <w:lang w:val="en-GB"/>
        </w:rPr>
        <w:t xml:space="preserve">in the EU </w:t>
      </w:r>
      <w:r>
        <w:rPr>
          <w:lang w:val="en-GB"/>
        </w:rPr>
        <w:t xml:space="preserve">and </w:t>
      </w:r>
      <w:r w:rsidR="00BD438B">
        <w:rPr>
          <w:lang w:val="en-GB"/>
        </w:rPr>
        <w:t>interact on</w:t>
      </w:r>
      <w:r w:rsidR="00585369">
        <w:rPr>
          <w:lang w:val="en-GB"/>
        </w:rPr>
        <w:t xml:space="preserve"> on-going</w:t>
      </w:r>
      <w:r w:rsidR="00BD438B">
        <w:rPr>
          <w:lang w:val="en-GB"/>
        </w:rPr>
        <w:t xml:space="preserve"> </w:t>
      </w:r>
      <w:r w:rsidR="00585369">
        <w:rPr>
          <w:lang w:val="en-GB"/>
        </w:rPr>
        <w:t>activities</w:t>
      </w:r>
      <w:r>
        <w:rPr>
          <w:lang w:val="en-GB"/>
        </w:rPr>
        <w:t>. This interaction can be threefold:</w:t>
      </w:r>
    </w:p>
    <w:p w14:paraId="6B7B6E9E" w14:textId="6A7C14E0" w:rsidR="00097CF6" w:rsidRDefault="00097CF6" w:rsidP="00890E38">
      <w:pPr>
        <w:pStyle w:val="ListParagraph"/>
        <w:numPr>
          <w:ilvl w:val="0"/>
          <w:numId w:val="25"/>
        </w:numPr>
        <w:rPr>
          <w:lang w:val="en-GB"/>
        </w:rPr>
      </w:pPr>
      <w:r>
        <w:rPr>
          <w:lang w:val="en-GB"/>
        </w:rPr>
        <w:t>A representative of the EGHI</w:t>
      </w:r>
      <w:r w:rsidR="00407156">
        <w:rPr>
          <w:lang w:val="en-GB"/>
        </w:rPr>
        <w:t>/HSPA</w:t>
      </w:r>
      <w:r>
        <w:rPr>
          <w:lang w:val="en-GB"/>
        </w:rPr>
        <w:t xml:space="preserve"> can </w:t>
      </w:r>
      <w:r w:rsidR="009B0E4C">
        <w:rPr>
          <w:lang w:val="en-GB"/>
        </w:rPr>
        <w:t>have an observer status at</w:t>
      </w:r>
      <w:r>
        <w:rPr>
          <w:lang w:val="en-GB"/>
        </w:rPr>
        <w:t xml:space="preserve"> the Assembly of Members of the </w:t>
      </w:r>
      <w:r w:rsidR="003A6FD0">
        <w:rPr>
          <w:lang w:val="en-GB"/>
        </w:rPr>
        <w:t>HIREP-</w:t>
      </w:r>
      <w:r>
        <w:rPr>
          <w:lang w:val="en-GB"/>
        </w:rPr>
        <w:t>ERIC.</w:t>
      </w:r>
    </w:p>
    <w:p w14:paraId="794FA266" w14:textId="3539CD30" w:rsidR="00097CF6" w:rsidRPr="00097CF6" w:rsidRDefault="00097CF6" w:rsidP="00890E38">
      <w:pPr>
        <w:pStyle w:val="ListParagraph"/>
        <w:numPr>
          <w:ilvl w:val="0"/>
          <w:numId w:val="25"/>
        </w:numPr>
        <w:rPr>
          <w:lang w:val="en-GB"/>
        </w:rPr>
      </w:pPr>
      <w:r>
        <w:rPr>
          <w:lang w:val="en-GB"/>
        </w:rPr>
        <w:t xml:space="preserve">A representative of the </w:t>
      </w:r>
      <w:r w:rsidR="003A6FD0">
        <w:rPr>
          <w:lang w:val="en-GB"/>
        </w:rPr>
        <w:t>HIREP-</w:t>
      </w:r>
      <w:r>
        <w:rPr>
          <w:lang w:val="en-GB"/>
        </w:rPr>
        <w:t>ERIC can assist in the EGHI</w:t>
      </w:r>
      <w:r w:rsidR="00407156">
        <w:rPr>
          <w:lang w:val="en-GB"/>
        </w:rPr>
        <w:t>/HSPA</w:t>
      </w:r>
      <w:r>
        <w:rPr>
          <w:lang w:val="en-GB"/>
        </w:rPr>
        <w:t xml:space="preserve"> meetings.</w:t>
      </w:r>
    </w:p>
    <w:p w14:paraId="7F161EC2" w14:textId="77777777" w:rsidR="00097CF6" w:rsidRPr="00097CF6" w:rsidRDefault="00097CF6" w:rsidP="00890E38">
      <w:pPr>
        <w:pStyle w:val="ListParagraph"/>
        <w:numPr>
          <w:ilvl w:val="0"/>
          <w:numId w:val="25"/>
        </w:numPr>
        <w:rPr>
          <w:lang w:val="en-GB"/>
        </w:rPr>
      </w:pPr>
      <w:r>
        <w:rPr>
          <w:lang w:val="en-GB"/>
        </w:rPr>
        <w:t xml:space="preserve">An annual meeting can be organised to discuss common issues. </w:t>
      </w:r>
    </w:p>
    <w:p w14:paraId="35FE0433" w14:textId="77777777" w:rsidR="00471E78" w:rsidRPr="00471E78" w:rsidRDefault="00471E78" w:rsidP="00471E78">
      <w:pPr>
        <w:pStyle w:val="Heading3"/>
        <w:rPr>
          <w:lang w:val="en-GB"/>
        </w:rPr>
      </w:pPr>
      <w:bookmarkStart w:id="29" w:name="_Toc469063811"/>
      <w:r>
        <w:rPr>
          <w:lang w:val="en-GB"/>
        </w:rPr>
        <w:t xml:space="preserve">National Public Health </w:t>
      </w:r>
      <w:r w:rsidR="00D40BEB">
        <w:rPr>
          <w:lang w:val="en-GB"/>
        </w:rPr>
        <w:t>Institutes (NPHI)</w:t>
      </w:r>
      <w:bookmarkEnd w:id="29"/>
    </w:p>
    <w:p w14:paraId="6CF3F97B" w14:textId="1CDE48D6" w:rsidR="00471E78" w:rsidRDefault="00471E78" w:rsidP="00471E78">
      <w:proofErr w:type="gramStart"/>
      <w:r w:rsidRPr="00471E78">
        <w:t xml:space="preserve">Many </w:t>
      </w:r>
      <w:r w:rsidR="00097CF6" w:rsidRPr="00097CF6">
        <w:t>National Public Health Institutes (</w:t>
      </w:r>
      <w:r w:rsidR="00097CF6">
        <w:t>NPHI)</w:t>
      </w:r>
      <w:proofErr w:type="gramEnd"/>
      <w:r w:rsidRPr="00471E78">
        <w:t xml:space="preserve"> have a central role in the national health information system, and often they have close relations with the </w:t>
      </w:r>
      <w:r w:rsidR="00961FD8" w:rsidRPr="00471E78">
        <w:t>Ministr</w:t>
      </w:r>
      <w:r w:rsidR="00961FD8">
        <w:t>ies</w:t>
      </w:r>
      <w:r w:rsidR="00961FD8" w:rsidRPr="00471E78">
        <w:t xml:space="preserve"> </w:t>
      </w:r>
      <w:r w:rsidRPr="00471E78">
        <w:t>of Health</w:t>
      </w:r>
      <w:r w:rsidR="003A6FD0">
        <w:t xml:space="preserve">, with the Institute of Statistics and with other organizations involved in Research (National Research Council, Universities, </w:t>
      </w:r>
      <w:proofErr w:type="spellStart"/>
      <w:r w:rsidR="003A6FD0">
        <w:t>etc</w:t>
      </w:r>
      <w:proofErr w:type="spellEnd"/>
      <w:r w:rsidR="003A6FD0">
        <w:t>)</w:t>
      </w:r>
      <w:r w:rsidRPr="00471E78">
        <w:t xml:space="preserve">. Therefore, a coordinating and liaising role for the NPHIs in the </w:t>
      </w:r>
      <w:r w:rsidR="003A6FD0">
        <w:rPr>
          <w:lang w:val="en-GB"/>
        </w:rPr>
        <w:t>HIREP-</w:t>
      </w:r>
      <w:r w:rsidRPr="00471E78">
        <w:t xml:space="preserve">ERIC seems logical, and also indispensable.  Furthermore, NPHIs typically have comprehensive tasks related to the generation of health information: not only are they involved in data collection, but also in data analyses, health reporting and knowledge translation. </w:t>
      </w:r>
      <w:r w:rsidR="00D40BEB" w:rsidRPr="00471E78">
        <w:t xml:space="preserve">This broad expertise is needed in the </w:t>
      </w:r>
      <w:r w:rsidR="003A6FD0">
        <w:rPr>
          <w:lang w:val="en-GB"/>
        </w:rPr>
        <w:t>HIREP-</w:t>
      </w:r>
      <w:r w:rsidR="00D40BEB" w:rsidRPr="00471E78">
        <w:t>ERIC.</w:t>
      </w:r>
      <w:r w:rsidR="00D40BEB">
        <w:t xml:space="preserve"> Moreover, NPHIs have many interaction and collaborations with research teams at national level. </w:t>
      </w:r>
    </w:p>
    <w:p w14:paraId="66B6E588" w14:textId="678DFBF7" w:rsidR="00471E78" w:rsidRDefault="00471E78" w:rsidP="00471E78">
      <w:r>
        <w:t>C</w:t>
      </w:r>
      <w:r w:rsidRPr="00471E78">
        <w:t xml:space="preserve">ontemplating the above, specific functions or tasks of the NPHIs in the </w:t>
      </w:r>
      <w:r w:rsidR="003A6FD0">
        <w:rPr>
          <w:lang w:val="en-GB"/>
        </w:rPr>
        <w:t>HIREP-</w:t>
      </w:r>
      <w:r w:rsidRPr="00471E78">
        <w:t>ERIC logically include:</w:t>
      </w:r>
    </w:p>
    <w:p w14:paraId="11908A5F" w14:textId="77777777" w:rsidR="00471E78" w:rsidRDefault="00471E78" w:rsidP="00890E38">
      <w:pPr>
        <w:pStyle w:val="ListParagraph"/>
        <w:numPr>
          <w:ilvl w:val="0"/>
          <w:numId w:val="24"/>
        </w:numPr>
      </w:pPr>
      <w:r w:rsidRPr="00471E78">
        <w:t>R</w:t>
      </w:r>
      <w:r w:rsidR="002E3DAD">
        <w:t>epresentation of their country i</w:t>
      </w:r>
      <w:r w:rsidRPr="00471E78">
        <w:t>n the ERIC at operational level;</w:t>
      </w:r>
      <w:r>
        <w:t xml:space="preserve"> </w:t>
      </w:r>
    </w:p>
    <w:p w14:paraId="71190A91" w14:textId="288A0F17" w:rsidR="00471E78" w:rsidRDefault="00471E78" w:rsidP="00890E38">
      <w:pPr>
        <w:pStyle w:val="ListParagraph"/>
        <w:numPr>
          <w:ilvl w:val="0"/>
          <w:numId w:val="24"/>
        </w:numPr>
      </w:pPr>
      <w:r w:rsidRPr="00471E78">
        <w:t xml:space="preserve">Liaising with the other main health information stakeholders in their country to keep them informed about the </w:t>
      </w:r>
      <w:r w:rsidR="003A6FD0">
        <w:rPr>
          <w:lang w:val="en-GB"/>
        </w:rPr>
        <w:t>HIREP-</w:t>
      </w:r>
      <w:r w:rsidRPr="00471E78">
        <w:t>ERIC and to seek their input in relevant strategic and operational issues, and coordinate their responses;</w:t>
      </w:r>
    </w:p>
    <w:p w14:paraId="68B75562" w14:textId="77777777" w:rsidR="00471E78" w:rsidRDefault="00471E78" w:rsidP="00890E38">
      <w:pPr>
        <w:pStyle w:val="ListParagraph"/>
        <w:numPr>
          <w:ilvl w:val="0"/>
          <w:numId w:val="24"/>
        </w:numPr>
      </w:pPr>
      <w:r w:rsidRPr="00471E78">
        <w:lastRenderedPageBreak/>
        <w:t>Liaising with the ministry of health to ensure alignment between policy and operational level;</w:t>
      </w:r>
    </w:p>
    <w:p w14:paraId="5C53826B" w14:textId="77777777" w:rsidR="00097CF6" w:rsidRDefault="00097CF6" w:rsidP="00890E38">
      <w:pPr>
        <w:pStyle w:val="ListParagraph"/>
        <w:numPr>
          <w:ilvl w:val="0"/>
          <w:numId w:val="24"/>
        </w:numPr>
      </w:pPr>
      <w:r w:rsidRPr="00097CF6">
        <w:t>Liaising with research teams who collaborate with the NPHI at national level in all areas of health information including foresight activities</w:t>
      </w:r>
      <w:r>
        <w:t>;</w:t>
      </w:r>
    </w:p>
    <w:p w14:paraId="0ABF1958" w14:textId="49B464C1" w:rsidR="00471E78" w:rsidRDefault="00471E78" w:rsidP="00890E38">
      <w:pPr>
        <w:pStyle w:val="ListParagraph"/>
        <w:numPr>
          <w:ilvl w:val="0"/>
          <w:numId w:val="24"/>
        </w:numPr>
      </w:pPr>
      <w:r w:rsidRPr="00471E78">
        <w:t xml:space="preserve">Dissemination of health information and health information tools produced by the </w:t>
      </w:r>
      <w:r w:rsidR="003A6FD0">
        <w:rPr>
          <w:lang w:val="en-GB"/>
        </w:rPr>
        <w:t>HIREP-</w:t>
      </w:r>
      <w:r w:rsidRPr="00471E78">
        <w:t>ERIC to researchers, policy and public;</w:t>
      </w:r>
    </w:p>
    <w:p w14:paraId="603BE99B" w14:textId="77777777" w:rsidR="00471E78" w:rsidRDefault="00471E78" w:rsidP="00890E38">
      <w:pPr>
        <w:pStyle w:val="ListParagraph"/>
        <w:numPr>
          <w:ilvl w:val="0"/>
          <w:numId w:val="24"/>
        </w:numPr>
      </w:pPr>
      <w:r w:rsidRPr="00471E78">
        <w:t>Creating a platform function with other NPHIs for sharing knowledge and expertise;</w:t>
      </w:r>
    </w:p>
    <w:p w14:paraId="757DD8B1" w14:textId="4A96174E" w:rsidR="00471E78" w:rsidRDefault="00471E78" w:rsidP="00890E38">
      <w:pPr>
        <w:pStyle w:val="ListParagraph"/>
        <w:numPr>
          <w:ilvl w:val="0"/>
          <w:numId w:val="24"/>
        </w:numPr>
        <w:spacing w:after="240"/>
      </w:pPr>
      <w:r w:rsidRPr="00471E78">
        <w:t xml:space="preserve">Contributing to the analysis, interpretation and reporting of data and information for products produced by the </w:t>
      </w:r>
      <w:r w:rsidR="003A6FD0">
        <w:rPr>
          <w:lang w:val="en-GB"/>
        </w:rPr>
        <w:t>HIREP-</w:t>
      </w:r>
      <w:r w:rsidRPr="00471E78">
        <w:t>ERIC.</w:t>
      </w:r>
    </w:p>
    <w:p w14:paraId="77EEE207" w14:textId="5371AA10" w:rsidR="00471E78" w:rsidRDefault="00471E78" w:rsidP="00471E78">
      <w:r w:rsidRPr="00471E78">
        <w:t xml:space="preserve">Individual NPHIs clearly could have a clear and important role in the </w:t>
      </w:r>
      <w:r w:rsidR="003A6FD0">
        <w:rPr>
          <w:lang w:val="en-GB"/>
        </w:rPr>
        <w:t>HIREP-</w:t>
      </w:r>
      <w:r w:rsidRPr="00471E78">
        <w:t xml:space="preserve">ERIC. However, particularly for strategic issues, it is also important for the institutes to speak with one voice. A clear representation on behalf of all the institutes is not only beneficial for the institutes themselves, but also for the effectiveness of and support for the ERIC. </w:t>
      </w:r>
      <w:r w:rsidR="00097CF6">
        <w:t>The International Association of National Public Health Institutes (</w:t>
      </w:r>
      <w:r w:rsidRPr="00471E78">
        <w:t>IANPHI</w:t>
      </w:r>
      <w:r w:rsidR="00097CF6">
        <w:t>)</w:t>
      </w:r>
      <w:r w:rsidRPr="00471E78">
        <w:t xml:space="preserve"> could play a role here. How this could be best organized is to be discussed, however, and is also dependent on how the final design for the governance structure for the ERIC will look.</w:t>
      </w:r>
    </w:p>
    <w:p w14:paraId="3997BE4A" w14:textId="7EB1ADBC" w:rsidR="00132FDD" w:rsidRPr="000835E6" w:rsidRDefault="00132FDD" w:rsidP="000835E6">
      <w:pPr>
        <w:pStyle w:val="Heading3"/>
        <w:rPr>
          <w:lang w:val="en-GB"/>
        </w:rPr>
      </w:pPr>
      <w:r w:rsidRPr="000835E6">
        <w:rPr>
          <w:lang w:val="en-GB"/>
        </w:rPr>
        <w:t>Eurostat</w:t>
      </w:r>
    </w:p>
    <w:p w14:paraId="0D6BE15F" w14:textId="66F0B838" w:rsidR="00132FDD" w:rsidRDefault="00132FDD" w:rsidP="00471E78">
      <w:r w:rsidRPr="00D823D0">
        <w:rPr>
          <w:lang w:val="en-GB"/>
        </w:rPr>
        <w:t>P</w:t>
      </w:r>
      <w:r w:rsidRPr="00132FDD">
        <w:rPr>
          <w:lang w:val="en-GB"/>
        </w:rPr>
        <w:t xml:space="preserve">reliminary discussions have taken place between the BRIDGE Health Project and Eurostat, in which Eurostat agreed in principle that they would take over indicators developed by the ERIC and integrate these into the European Statistical System. This provides one model for how the ERIC's research could influence </w:t>
      </w:r>
      <w:r w:rsidR="00F54C20">
        <w:rPr>
          <w:lang w:val="en-GB"/>
        </w:rPr>
        <w:t>EU countries</w:t>
      </w:r>
      <w:r w:rsidRPr="00132FDD">
        <w:rPr>
          <w:lang w:val="en-GB"/>
        </w:rPr>
        <w:t xml:space="preserve"> evidence-based health policy.</w:t>
      </w:r>
    </w:p>
    <w:p w14:paraId="22621DC2" w14:textId="77777777" w:rsidR="005820BD" w:rsidRDefault="00CB0B21" w:rsidP="002E3DAD">
      <w:pPr>
        <w:pStyle w:val="Heading1"/>
      </w:pPr>
      <w:bookmarkStart w:id="30" w:name="_Toc469063812"/>
      <w:r>
        <w:t xml:space="preserve">Landscape </w:t>
      </w:r>
      <w:r w:rsidR="005820BD">
        <w:t>ESFRI</w:t>
      </w:r>
      <w:bookmarkEnd w:id="30"/>
    </w:p>
    <w:p w14:paraId="291C4EA8" w14:textId="21DD40DC" w:rsidR="00C137B1" w:rsidRDefault="00B04DC2" w:rsidP="005820BD">
      <w:r>
        <w:t xml:space="preserve">The </w:t>
      </w:r>
      <w:r w:rsidR="002E3DAD">
        <w:t>current research infrastructures</w:t>
      </w:r>
      <w:r w:rsidR="005820BD" w:rsidRPr="005820BD">
        <w:t xml:space="preserve"> in the </w:t>
      </w:r>
      <w:r w:rsidR="003A6FD0">
        <w:t>European Strategy on Research Infrastructure</w:t>
      </w:r>
      <w:r w:rsidR="003A6FD0" w:rsidRPr="005820BD">
        <w:t xml:space="preserve"> </w:t>
      </w:r>
      <w:r w:rsidR="003A6FD0">
        <w:t>(</w:t>
      </w:r>
      <w:r w:rsidR="005820BD" w:rsidRPr="005820BD">
        <w:t>ESFRI</w:t>
      </w:r>
      <w:r w:rsidR="003A6FD0">
        <w:t>)</w:t>
      </w:r>
      <w:r w:rsidR="005820BD" w:rsidRPr="005820BD">
        <w:t xml:space="preserve"> Roadmap</w:t>
      </w:r>
      <w:r>
        <w:t xml:space="preserve"> </w:t>
      </w:r>
      <w:r w:rsidR="008B12DA">
        <w:t>relevant to public health and policy</w:t>
      </w:r>
      <w:r>
        <w:t xml:space="preserve"> are summarized in the table below</w:t>
      </w:r>
      <w:r w:rsidR="005820BD" w:rsidRPr="005820BD">
        <w:t xml:space="preserve">. </w:t>
      </w:r>
    </w:p>
    <w:tbl>
      <w:tblPr>
        <w:tblStyle w:val="TableGrid"/>
        <w:tblW w:w="8972" w:type="dxa"/>
        <w:tblInd w:w="108" w:type="dxa"/>
        <w:tblLayout w:type="fixed"/>
        <w:tblLook w:val="04A0" w:firstRow="1" w:lastRow="0" w:firstColumn="1" w:lastColumn="0" w:noHBand="0" w:noVBand="1"/>
      </w:tblPr>
      <w:tblGrid>
        <w:gridCol w:w="900"/>
        <w:gridCol w:w="2934"/>
        <w:gridCol w:w="1314"/>
        <w:gridCol w:w="1422"/>
        <w:gridCol w:w="1025"/>
        <w:gridCol w:w="1377"/>
      </w:tblGrid>
      <w:tr w:rsidR="008B12DA" w:rsidRPr="008B12DA" w14:paraId="4DC96363" w14:textId="77777777" w:rsidTr="008B12DA">
        <w:tc>
          <w:tcPr>
            <w:tcW w:w="900" w:type="dxa"/>
          </w:tcPr>
          <w:p w14:paraId="77F99ADB" w14:textId="41F6BE7B" w:rsidR="008B12DA" w:rsidRPr="008B12DA" w:rsidRDefault="008B12DA" w:rsidP="005820BD">
            <w:pPr>
              <w:rPr>
                <w:b/>
                <w:sz w:val="20"/>
                <w:szCs w:val="20"/>
                <w:lang w:val="en-GB"/>
              </w:rPr>
            </w:pPr>
            <w:r w:rsidRPr="008B12DA">
              <w:rPr>
                <w:b/>
                <w:sz w:val="20"/>
                <w:szCs w:val="20"/>
                <w:lang w:val="en-GB"/>
              </w:rPr>
              <w:t>Name</w:t>
            </w:r>
          </w:p>
        </w:tc>
        <w:tc>
          <w:tcPr>
            <w:tcW w:w="2934" w:type="dxa"/>
          </w:tcPr>
          <w:p w14:paraId="3DB6C8B5" w14:textId="31F655A4" w:rsidR="008B12DA" w:rsidRPr="008B12DA" w:rsidRDefault="008B12DA" w:rsidP="008B12DA">
            <w:pPr>
              <w:rPr>
                <w:b/>
                <w:sz w:val="20"/>
                <w:szCs w:val="20"/>
                <w:lang w:val="en-GB"/>
              </w:rPr>
            </w:pPr>
            <w:r w:rsidRPr="008B12DA">
              <w:rPr>
                <w:b/>
                <w:sz w:val="20"/>
                <w:szCs w:val="20"/>
                <w:lang w:val="en-GB"/>
              </w:rPr>
              <w:t>Full name</w:t>
            </w:r>
          </w:p>
        </w:tc>
        <w:tc>
          <w:tcPr>
            <w:tcW w:w="1314" w:type="dxa"/>
          </w:tcPr>
          <w:p w14:paraId="283E990E" w14:textId="654085F0" w:rsidR="008B12DA" w:rsidRPr="008B12DA" w:rsidRDefault="008B12DA" w:rsidP="008B12DA">
            <w:pPr>
              <w:rPr>
                <w:b/>
                <w:sz w:val="20"/>
                <w:szCs w:val="20"/>
                <w:lang w:val="en-GB"/>
              </w:rPr>
            </w:pPr>
            <w:r w:rsidRPr="008B12DA">
              <w:rPr>
                <w:b/>
                <w:sz w:val="20"/>
                <w:szCs w:val="20"/>
                <w:lang w:val="en-GB"/>
              </w:rPr>
              <w:t>Roadmap entry and operation</w:t>
            </w:r>
          </w:p>
        </w:tc>
        <w:tc>
          <w:tcPr>
            <w:tcW w:w="1422" w:type="dxa"/>
          </w:tcPr>
          <w:p w14:paraId="195B7DAF" w14:textId="3D427D91" w:rsidR="008B12DA" w:rsidRPr="008B12DA" w:rsidRDefault="008B12DA" w:rsidP="008B12DA">
            <w:pPr>
              <w:rPr>
                <w:b/>
                <w:sz w:val="20"/>
                <w:szCs w:val="20"/>
                <w:lang w:val="en-GB"/>
              </w:rPr>
            </w:pPr>
            <w:r w:rsidRPr="008B12DA">
              <w:rPr>
                <w:b/>
                <w:sz w:val="20"/>
                <w:szCs w:val="20"/>
                <w:lang w:val="en-GB"/>
              </w:rPr>
              <w:t>Legal status</w:t>
            </w:r>
          </w:p>
        </w:tc>
        <w:tc>
          <w:tcPr>
            <w:tcW w:w="1025" w:type="dxa"/>
          </w:tcPr>
          <w:p w14:paraId="65F16C74" w14:textId="0B172346" w:rsidR="008B12DA" w:rsidRPr="008B12DA" w:rsidRDefault="008B12DA" w:rsidP="008B12DA">
            <w:pPr>
              <w:rPr>
                <w:b/>
                <w:sz w:val="20"/>
                <w:szCs w:val="20"/>
                <w:lang w:val="en-GB"/>
              </w:rPr>
            </w:pPr>
            <w:r w:rsidRPr="008B12DA">
              <w:rPr>
                <w:b/>
                <w:sz w:val="20"/>
                <w:szCs w:val="20"/>
                <w:lang w:val="en-GB"/>
              </w:rPr>
              <w:t>Capital Value (M€)</w:t>
            </w:r>
          </w:p>
        </w:tc>
        <w:tc>
          <w:tcPr>
            <w:tcW w:w="1377" w:type="dxa"/>
          </w:tcPr>
          <w:p w14:paraId="79DA7BB9" w14:textId="43062E9E" w:rsidR="008B12DA" w:rsidRPr="008B12DA" w:rsidRDefault="008B12DA" w:rsidP="008B12DA">
            <w:pPr>
              <w:rPr>
                <w:b/>
                <w:sz w:val="20"/>
                <w:szCs w:val="20"/>
                <w:lang w:val="en-GB"/>
              </w:rPr>
            </w:pPr>
            <w:r w:rsidRPr="008B12DA">
              <w:rPr>
                <w:b/>
                <w:sz w:val="20"/>
                <w:szCs w:val="20"/>
                <w:lang w:val="en-GB"/>
              </w:rPr>
              <w:t>Operational budget (M€/year)</w:t>
            </w:r>
          </w:p>
        </w:tc>
      </w:tr>
      <w:tr w:rsidR="008B12DA" w:rsidRPr="008B12DA" w14:paraId="7E63F389" w14:textId="77777777" w:rsidTr="008B12DA">
        <w:tc>
          <w:tcPr>
            <w:tcW w:w="900" w:type="dxa"/>
          </w:tcPr>
          <w:p w14:paraId="5365CE35" w14:textId="2C8C66D8" w:rsidR="008B12DA" w:rsidRPr="008B12DA" w:rsidRDefault="008B12DA" w:rsidP="005820BD">
            <w:pPr>
              <w:rPr>
                <w:sz w:val="20"/>
                <w:szCs w:val="20"/>
                <w:lang w:val="en-GB"/>
              </w:rPr>
            </w:pPr>
            <w:r w:rsidRPr="008B12DA">
              <w:rPr>
                <w:sz w:val="20"/>
                <w:szCs w:val="20"/>
                <w:lang w:val="en-GB"/>
              </w:rPr>
              <w:t>BBMRI ERIC</w:t>
            </w:r>
          </w:p>
        </w:tc>
        <w:tc>
          <w:tcPr>
            <w:tcW w:w="2934" w:type="dxa"/>
          </w:tcPr>
          <w:p w14:paraId="590A50CC" w14:textId="77777777" w:rsidR="008B12DA" w:rsidRPr="008B12DA" w:rsidRDefault="008B12DA" w:rsidP="0030065D">
            <w:pPr>
              <w:autoSpaceDE w:val="0"/>
              <w:autoSpaceDN w:val="0"/>
              <w:adjustRightInd w:val="0"/>
              <w:jc w:val="left"/>
              <w:rPr>
                <w:sz w:val="20"/>
                <w:szCs w:val="20"/>
                <w:lang w:val="en-GB"/>
              </w:rPr>
            </w:pPr>
            <w:proofErr w:type="spellStart"/>
            <w:r w:rsidRPr="008B12DA">
              <w:rPr>
                <w:sz w:val="20"/>
                <w:szCs w:val="20"/>
                <w:lang w:val="en-GB"/>
              </w:rPr>
              <w:t>Biobanking</w:t>
            </w:r>
            <w:proofErr w:type="spellEnd"/>
            <w:r w:rsidRPr="008B12DA">
              <w:rPr>
                <w:sz w:val="20"/>
                <w:szCs w:val="20"/>
                <w:lang w:val="en-GB"/>
              </w:rPr>
              <w:t xml:space="preserve"> and </w:t>
            </w:r>
            <w:proofErr w:type="spellStart"/>
            <w:r w:rsidRPr="008B12DA">
              <w:rPr>
                <w:sz w:val="20"/>
                <w:szCs w:val="20"/>
                <w:lang w:val="en-GB"/>
              </w:rPr>
              <w:t>BioMolecular</w:t>
            </w:r>
            <w:proofErr w:type="spellEnd"/>
            <w:r w:rsidRPr="008B12DA">
              <w:rPr>
                <w:sz w:val="20"/>
                <w:szCs w:val="20"/>
                <w:lang w:val="en-GB"/>
              </w:rPr>
              <w:t xml:space="preserve"> resources Research</w:t>
            </w:r>
          </w:p>
          <w:p w14:paraId="03A4AD3C" w14:textId="7BCA86A9" w:rsidR="008B12DA" w:rsidRPr="008B12DA" w:rsidRDefault="008B12DA" w:rsidP="0030065D">
            <w:pPr>
              <w:rPr>
                <w:sz w:val="20"/>
                <w:szCs w:val="20"/>
                <w:lang w:val="en-GB"/>
              </w:rPr>
            </w:pPr>
            <w:r w:rsidRPr="008B12DA">
              <w:rPr>
                <w:sz w:val="20"/>
                <w:szCs w:val="20"/>
                <w:lang w:val="en-GB"/>
              </w:rPr>
              <w:t>Infrastructure</w:t>
            </w:r>
          </w:p>
        </w:tc>
        <w:tc>
          <w:tcPr>
            <w:tcW w:w="1314" w:type="dxa"/>
          </w:tcPr>
          <w:p w14:paraId="5F969270" w14:textId="2E7D645F" w:rsidR="008B12DA" w:rsidRPr="008B12DA" w:rsidRDefault="008B12DA" w:rsidP="005820BD">
            <w:pPr>
              <w:rPr>
                <w:sz w:val="20"/>
                <w:szCs w:val="20"/>
                <w:lang w:val="en-GB"/>
              </w:rPr>
            </w:pPr>
            <w:r w:rsidRPr="008B12DA">
              <w:rPr>
                <w:sz w:val="20"/>
                <w:szCs w:val="20"/>
                <w:lang w:val="en-GB"/>
              </w:rPr>
              <w:t>2006, 2014</w:t>
            </w:r>
          </w:p>
        </w:tc>
        <w:tc>
          <w:tcPr>
            <w:tcW w:w="1422" w:type="dxa"/>
          </w:tcPr>
          <w:p w14:paraId="0351E1EC" w14:textId="6B357187" w:rsidR="008B12DA" w:rsidRPr="008B12DA" w:rsidRDefault="008B12DA" w:rsidP="005820BD">
            <w:pPr>
              <w:rPr>
                <w:sz w:val="20"/>
                <w:szCs w:val="20"/>
                <w:lang w:val="en-GB"/>
              </w:rPr>
            </w:pPr>
            <w:r w:rsidRPr="008B12DA">
              <w:rPr>
                <w:sz w:val="20"/>
                <w:szCs w:val="20"/>
                <w:lang w:val="en-GB"/>
              </w:rPr>
              <w:t>ERIC, 2013</w:t>
            </w:r>
          </w:p>
        </w:tc>
        <w:tc>
          <w:tcPr>
            <w:tcW w:w="1025" w:type="dxa"/>
          </w:tcPr>
          <w:p w14:paraId="6290AFC7" w14:textId="1559C7DA" w:rsidR="008B12DA" w:rsidRPr="008B12DA" w:rsidRDefault="008B12DA" w:rsidP="005820BD">
            <w:pPr>
              <w:rPr>
                <w:sz w:val="20"/>
                <w:szCs w:val="20"/>
                <w:lang w:val="en-GB"/>
              </w:rPr>
            </w:pPr>
            <w:r w:rsidRPr="008B12DA">
              <w:rPr>
                <w:sz w:val="20"/>
                <w:szCs w:val="20"/>
                <w:lang w:val="en-GB"/>
              </w:rPr>
              <w:t>170-220</w:t>
            </w:r>
          </w:p>
          <w:p w14:paraId="662AA4C9" w14:textId="0D00A6CA" w:rsidR="008B12DA" w:rsidRPr="008B12DA" w:rsidRDefault="008B12DA" w:rsidP="0030065D">
            <w:pPr>
              <w:rPr>
                <w:sz w:val="20"/>
                <w:szCs w:val="20"/>
                <w:lang w:val="en-GB"/>
              </w:rPr>
            </w:pPr>
          </w:p>
          <w:p w14:paraId="6D0B38D8" w14:textId="77777777" w:rsidR="008B12DA" w:rsidRPr="008B12DA" w:rsidRDefault="008B12DA" w:rsidP="0030065D">
            <w:pPr>
              <w:rPr>
                <w:sz w:val="20"/>
                <w:szCs w:val="20"/>
                <w:lang w:val="en-GB"/>
              </w:rPr>
            </w:pPr>
          </w:p>
        </w:tc>
        <w:tc>
          <w:tcPr>
            <w:tcW w:w="1377" w:type="dxa"/>
          </w:tcPr>
          <w:p w14:paraId="0A190F13" w14:textId="64ADD3BD" w:rsidR="008B12DA" w:rsidRPr="008B12DA" w:rsidRDefault="008B12DA" w:rsidP="005820BD">
            <w:pPr>
              <w:rPr>
                <w:sz w:val="20"/>
                <w:szCs w:val="20"/>
                <w:lang w:val="en-GB"/>
              </w:rPr>
            </w:pPr>
            <w:r w:rsidRPr="008B12DA">
              <w:rPr>
                <w:sz w:val="20"/>
                <w:szCs w:val="20"/>
                <w:lang w:val="en-GB"/>
              </w:rPr>
              <w:t>3.5</w:t>
            </w:r>
          </w:p>
        </w:tc>
      </w:tr>
      <w:tr w:rsidR="008B12DA" w:rsidRPr="008B12DA" w14:paraId="4C17B493" w14:textId="77777777" w:rsidTr="008B12DA">
        <w:tc>
          <w:tcPr>
            <w:tcW w:w="900" w:type="dxa"/>
          </w:tcPr>
          <w:p w14:paraId="5B82D258" w14:textId="63B44221" w:rsidR="008B12DA" w:rsidRPr="008B12DA" w:rsidRDefault="008B12DA" w:rsidP="005820BD">
            <w:pPr>
              <w:rPr>
                <w:sz w:val="20"/>
                <w:szCs w:val="20"/>
                <w:lang w:val="en-GB"/>
              </w:rPr>
            </w:pPr>
            <w:r w:rsidRPr="008B12DA">
              <w:rPr>
                <w:sz w:val="20"/>
                <w:szCs w:val="20"/>
                <w:lang w:val="en-GB"/>
              </w:rPr>
              <w:t>EATRIS ERIC</w:t>
            </w:r>
          </w:p>
        </w:tc>
        <w:tc>
          <w:tcPr>
            <w:tcW w:w="2934" w:type="dxa"/>
          </w:tcPr>
          <w:p w14:paraId="56E42C36" w14:textId="77777777" w:rsidR="008B12DA" w:rsidRPr="008B12DA" w:rsidRDefault="008B12DA" w:rsidP="0030065D">
            <w:pPr>
              <w:autoSpaceDE w:val="0"/>
              <w:autoSpaceDN w:val="0"/>
              <w:adjustRightInd w:val="0"/>
              <w:jc w:val="left"/>
              <w:rPr>
                <w:sz w:val="20"/>
                <w:szCs w:val="20"/>
                <w:lang w:val="en-GB"/>
              </w:rPr>
            </w:pPr>
            <w:r w:rsidRPr="008B12DA">
              <w:rPr>
                <w:sz w:val="20"/>
                <w:szCs w:val="20"/>
                <w:lang w:val="en-GB"/>
              </w:rPr>
              <w:t>European Advanced Translational Research</w:t>
            </w:r>
          </w:p>
          <w:p w14:paraId="44CC524F" w14:textId="0A80FCBF" w:rsidR="008B12DA" w:rsidRPr="008B12DA" w:rsidRDefault="008B12DA" w:rsidP="0030065D">
            <w:pPr>
              <w:rPr>
                <w:sz w:val="20"/>
                <w:szCs w:val="20"/>
                <w:lang w:val="en-GB"/>
              </w:rPr>
            </w:pPr>
            <w:r w:rsidRPr="008B12DA">
              <w:rPr>
                <w:sz w:val="20"/>
                <w:szCs w:val="20"/>
                <w:lang w:val="en-GB"/>
              </w:rPr>
              <w:t>Infrastructure in Medicine</w:t>
            </w:r>
          </w:p>
        </w:tc>
        <w:tc>
          <w:tcPr>
            <w:tcW w:w="1314" w:type="dxa"/>
          </w:tcPr>
          <w:p w14:paraId="1B80542D" w14:textId="77777777" w:rsidR="008B12DA" w:rsidRPr="008B12DA" w:rsidRDefault="008B12DA" w:rsidP="005820BD">
            <w:pPr>
              <w:rPr>
                <w:sz w:val="20"/>
                <w:szCs w:val="20"/>
                <w:lang w:val="en-GB"/>
              </w:rPr>
            </w:pPr>
            <w:r w:rsidRPr="008B12DA">
              <w:rPr>
                <w:sz w:val="20"/>
                <w:szCs w:val="20"/>
                <w:lang w:val="en-GB"/>
              </w:rPr>
              <w:t>2006,</w:t>
            </w:r>
          </w:p>
          <w:p w14:paraId="6D7E8075" w14:textId="42D44ECD" w:rsidR="008B12DA" w:rsidRPr="008B12DA" w:rsidRDefault="008B12DA" w:rsidP="005820BD">
            <w:pPr>
              <w:rPr>
                <w:sz w:val="20"/>
                <w:szCs w:val="20"/>
                <w:lang w:val="en-GB"/>
              </w:rPr>
            </w:pPr>
            <w:r w:rsidRPr="008B12DA">
              <w:rPr>
                <w:sz w:val="20"/>
                <w:szCs w:val="20"/>
                <w:lang w:val="en-GB"/>
              </w:rPr>
              <w:t>2013</w:t>
            </w:r>
          </w:p>
        </w:tc>
        <w:tc>
          <w:tcPr>
            <w:tcW w:w="1422" w:type="dxa"/>
          </w:tcPr>
          <w:p w14:paraId="554B52A9" w14:textId="54FCEE41" w:rsidR="008B12DA" w:rsidRPr="008B12DA" w:rsidRDefault="008B12DA" w:rsidP="005820BD">
            <w:pPr>
              <w:rPr>
                <w:sz w:val="20"/>
                <w:szCs w:val="20"/>
                <w:lang w:val="en-GB"/>
              </w:rPr>
            </w:pPr>
            <w:r w:rsidRPr="008B12DA">
              <w:rPr>
                <w:sz w:val="20"/>
                <w:szCs w:val="20"/>
                <w:lang w:val="en-GB"/>
              </w:rPr>
              <w:t>ERIC, 2013</w:t>
            </w:r>
          </w:p>
        </w:tc>
        <w:tc>
          <w:tcPr>
            <w:tcW w:w="1025" w:type="dxa"/>
          </w:tcPr>
          <w:p w14:paraId="45AF102F" w14:textId="3054C432" w:rsidR="008B12DA" w:rsidRPr="008B12DA" w:rsidRDefault="008B12DA" w:rsidP="005820BD">
            <w:pPr>
              <w:rPr>
                <w:sz w:val="20"/>
                <w:szCs w:val="20"/>
                <w:lang w:val="en-GB"/>
              </w:rPr>
            </w:pPr>
            <w:r w:rsidRPr="008B12DA">
              <w:rPr>
                <w:sz w:val="20"/>
                <w:szCs w:val="20"/>
                <w:lang w:val="en-GB"/>
              </w:rPr>
              <w:t>500</w:t>
            </w:r>
          </w:p>
        </w:tc>
        <w:tc>
          <w:tcPr>
            <w:tcW w:w="1377" w:type="dxa"/>
          </w:tcPr>
          <w:p w14:paraId="680CBF67" w14:textId="7BA0D8BE" w:rsidR="008B12DA" w:rsidRPr="008B12DA" w:rsidRDefault="008B12DA" w:rsidP="005820BD">
            <w:pPr>
              <w:rPr>
                <w:sz w:val="20"/>
                <w:szCs w:val="20"/>
                <w:lang w:val="en-GB"/>
              </w:rPr>
            </w:pPr>
            <w:r w:rsidRPr="008B12DA">
              <w:rPr>
                <w:sz w:val="20"/>
                <w:szCs w:val="20"/>
                <w:lang w:val="en-GB"/>
              </w:rPr>
              <w:t>2.5</w:t>
            </w:r>
          </w:p>
        </w:tc>
      </w:tr>
      <w:tr w:rsidR="008B12DA" w:rsidRPr="008B12DA" w14:paraId="21C8B741" w14:textId="77777777" w:rsidTr="008B12DA">
        <w:tc>
          <w:tcPr>
            <w:tcW w:w="900" w:type="dxa"/>
          </w:tcPr>
          <w:p w14:paraId="4477434B" w14:textId="2529F6A6" w:rsidR="008B12DA" w:rsidRPr="008B12DA" w:rsidRDefault="008B12DA" w:rsidP="005820BD">
            <w:pPr>
              <w:rPr>
                <w:sz w:val="20"/>
                <w:szCs w:val="20"/>
                <w:lang w:val="en-GB"/>
              </w:rPr>
            </w:pPr>
            <w:r w:rsidRPr="008B12DA">
              <w:rPr>
                <w:sz w:val="20"/>
                <w:szCs w:val="20"/>
                <w:lang w:val="en-GB"/>
              </w:rPr>
              <w:t>ECRIN ERIC</w:t>
            </w:r>
          </w:p>
        </w:tc>
        <w:tc>
          <w:tcPr>
            <w:tcW w:w="2934" w:type="dxa"/>
          </w:tcPr>
          <w:p w14:paraId="2E5D708F" w14:textId="17C5C06F" w:rsidR="008B12DA" w:rsidRPr="008B12DA" w:rsidRDefault="008B12DA" w:rsidP="005820BD">
            <w:pPr>
              <w:rPr>
                <w:sz w:val="20"/>
                <w:szCs w:val="20"/>
                <w:lang w:val="en-GB"/>
              </w:rPr>
            </w:pPr>
            <w:r w:rsidRPr="008B12DA">
              <w:rPr>
                <w:sz w:val="20"/>
                <w:szCs w:val="20"/>
                <w:lang w:val="en-GB"/>
              </w:rPr>
              <w:t>European Clinical Research Infrastructure Network</w:t>
            </w:r>
          </w:p>
        </w:tc>
        <w:tc>
          <w:tcPr>
            <w:tcW w:w="1314" w:type="dxa"/>
          </w:tcPr>
          <w:p w14:paraId="51B3EF65" w14:textId="498A89D8" w:rsidR="008B12DA" w:rsidRPr="008B12DA" w:rsidRDefault="008B12DA" w:rsidP="005820BD">
            <w:pPr>
              <w:rPr>
                <w:sz w:val="20"/>
                <w:szCs w:val="20"/>
                <w:lang w:val="en-GB"/>
              </w:rPr>
            </w:pPr>
            <w:r w:rsidRPr="008B12DA">
              <w:rPr>
                <w:sz w:val="20"/>
                <w:szCs w:val="20"/>
                <w:lang w:val="en-GB"/>
              </w:rPr>
              <w:t>2006, 2014</w:t>
            </w:r>
          </w:p>
        </w:tc>
        <w:tc>
          <w:tcPr>
            <w:tcW w:w="1422" w:type="dxa"/>
          </w:tcPr>
          <w:p w14:paraId="6CF9E8B8" w14:textId="561260EA" w:rsidR="008B12DA" w:rsidRPr="008B12DA" w:rsidRDefault="008B12DA" w:rsidP="005820BD">
            <w:pPr>
              <w:rPr>
                <w:sz w:val="20"/>
                <w:szCs w:val="20"/>
                <w:lang w:val="en-GB"/>
              </w:rPr>
            </w:pPr>
            <w:r w:rsidRPr="008B12DA">
              <w:rPr>
                <w:sz w:val="20"/>
                <w:szCs w:val="20"/>
                <w:lang w:val="en-GB"/>
              </w:rPr>
              <w:t>ERIC, 2013</w:t>
            </w:r>
          </w:p>
        </w:tc>
        <w:tc>
          <w:tcPr>
            <w:tcW w:w="1025" w:type="dxa"/>
          </w:tcPr>
          <w:p w14:paraId="4A61CBE9" w14:textId="3EF78F60" w:rsidR="008B12DA" w:rsidRPr="008B12DA" w:rsidRDefault="008B12DA" w:rsidP="005820BD">
            <w:pPr>
              <w:rPr>
                <w:sz w:val="20"/>
                <w:szCs w:val="20"/>
                <w:lang w:val="en-GB"/>
              </w:rPr>
            </w:pPr>
            <w:r w:rsidRPr="008B12DA">
              <w:rPr>
                <w:sz w:val="20"/>
                <w:szCs w:val="20"/>
                <w:lang w:val="en-GB"/>
              </w:rPr>
              <w:t>1.5</w:t>
            </w:r>
          </w:p>
        </w:tc>
        <w:tc>
          <w:tcPr>
            <w:tcW w:w="1377" w:type="dxa"/>
          </w:tcPr>
          <w:p w14:paraId="24D8873B" w14:textId="64A7DE1E" w:rsidR="008B12DA" w:rsidRPr="008B12DA" w:rsidRDefault="008B12DA" w:rsidP="005820BD">
            <w:pPr>
              <w:rPr>
                <w:sz w:val="20"/>
                <w:szCs w:val="20"/>
                <w:lang w:val="en-GB"/>
              </w:rPr>
            </w:pPr>
            <w:r w:rsidRPr="008B12DA">
              <w:rPr>
                <w:sz w:val="20"/>
                <w:szCs w:val="20"/>
                <w:lang w:val="en-GB"/>
              </w:rPr>
              <w:t>2</w:t>
            </w:r>
          </w:p>
        </w:tc>
      </w:tr>
      <w:tr w:rsidR="008B12DA" w:rsidRPr="008B12DA" w14:paraId="087081E3" w14:textId="77777777" w:rsidTr="008B12DA">
        <w:tc>
          <w:tcPr>
            <w:tcW w:w="900" w:type="dxa"/>
          </w:tcPr>
          <w:p w14:paraId="2C2B03C5" w14:textId="15716FCD" w:rsidR="008B12DA" w:rsidRPr="008B12DA" w:rsidRDefault="008B12DA" w:rsidP="005820BD">
            <w:pPr>
              <w:rPr>
                <w:sz w:val="20"/>
                <w:szCs w:val="20"/>
                <w:lang w:val="en-GB"/>
              </w:rPr>
            </w:pPr>
            <w:r w:rsidRPr="008B12DA">
              <w:rPr>
                <w:sz w:val="20"/>
                <w:szCs w:val="20"/>
                <w:lang w:val="en-GB"/>
              </w:rPr>
              <w:t>ELIXIR</w:t>
            </w:r>
          </w:p>
        </w:tc>
        <w:tc>
          <w:tcPr>
            <w:tcW w:w="2934" w:type="dxa"/>
          </w:tcPr>
          <w:p w14:paraId="093C572A" w14:textId="47C88F51" w:rsidR="008B12DA" w:rsidRPr="008B12DA" w:rsidRDefault="008B12DA" w:rsidP="005820BD">
            <w:pPr>
              <w:rPr>
                <w:sz w:val="20"/>
                <w:szCs w:val="20"/>
                <w:lang w:val="en-GB"/>
              </w:rPr>
            </w:pPr>
            <w:r w:rsidRPr="008B12DA">
              <w:rPr>
                <w:sz w:val="20"/>
                <w:szCs w:val="20"/>
                <w:lang w:val="en-GB"/>
              </w:rPr>
              <w:t>A distributed infrastructure for life-science information</w:t>
            </w:r>
          </w:p>
        </w:tc>
        <w:tc>
          <w:tcPr>
            <w:tcW w:w="1314" w:type="dxa"/>
          </w:tcPr>
          <w:p w14:paraId="6AE89B61" w14:textId="58A17DD4" w:rsidR="008B12DA" w:rsidRPr="008B12DA" w:rsidRDefault="008B12DA" w:rsidP="005820BD">
            <w:pPr>
              <w:rPr>
                <w:sz w:val="20"/>
                <w:szCs w:val="20"/>
                <w:lang w:val="en-GB"/>
              </w:rPr>
            </w:pPr>
            <w:r w:rsidRPr="008B12DA">
              <w:rPr>
                <w:sz w:val="20"/>
                <w:szCs w:val="20"/>
                <w:lang w:val="en-GB"/>
              </w:rPr>
              <w:t>2006, 2014</w:t>
            </w:r>
          </w:p>
        </w:tc>
        <w:tc>
          <w:tcPr>
            <w:tcW w:w="1422" w:type="dxa"/>
          </w:tcPr>
          <w:p w14:paraId="59462714" w14:textId="5E39F185" w:rsidR="008B12DA" w:rsidRPr="008B12DA" w:rsidRDefault="008B12DA" w:rsidP="005820BD">
            <w:pPr>
              <w:rPr>
                <w:sz w:val="20"/>
                <w:szCs w:val="20"/>
                <w:lang w:val="en-GB"/>
              </w:rPr>
            </w:pPr>
            <w:r w:rsidRPr="008B12DA">
              <w:rPr>
                <w:sz w:val="20"/>
                <w:szCs w:val="20"/>
                <w:lang w:val="en-GB"/>
              </w:rPr>
              <w:t>ELIXIR Consortium Agreement, 2013</w:t>
            </w:r>
          </w:p>
        </w:tc>
        <w:tc>
          <w:tcPr>
            <w:tcW w:w="1025" w:type="dxa"/>
          </w:tcPr>
          <w:p w14:paraId="735600CE" w14:textId="3A442E37" w:rsidR="008B12DA" w:rsidRPr="008B12DA" w:rsidRDefault="008B12DA" w:rsidP="005820BD">
            <w:pPr>
              <w:rPr>
                <w:sz w:val="20"/>
                <w:szCs w:val="20"/>
                <w:lang w:val="en-GB"/>
              </w:rPr>
            </w:pPr>
            <w:r w:rsidRPr="008B12DA">
              <w:rPr>
                <w:sz w:val="20"/>
                <w:szCs w:val="20"/>
                <w:lang w:val="en-GB"/>
              </w:rPr>
              <w:t>125</w:t>
            </w:r>
          </w:p>
        </w:tc>
        <w:tc>
          <w:tcPr>
            <w:tcW w:w="1377" w:type="dxa"/>
          </w:tcPr>
          <w:p w14:paraId="4569D72C" w14:textId="170110B9" w:rsidR="008B12DA" w:rsidRPr="008B12DA" w:rsidRDefault="008B12DA" w:rsidP="005820BD">
            <w:pPr>
              <w:rPr>
                <w:sz w:val="20"/>
                <w:szCs w:val="20"/>
                <w:lang w:val="en-GB"/>
              </w:rPr>
            </w:pPr>
            <w:r w:rsidRPr="008B12DA">
              <w:rPr>
                <w:sz w:val="20"/>
                <w:szCs w:val="20"/>
                <w:lang w:val="en-GB"/>
              </w:rPr>
              <w:t>95</w:t>
            </w:r>
          </w:p>
        </w:tc>
      </w:tr>
      <w:tr w:rsidR="008B12DA" w:rsidRPr="008B12DA" w14:paraId="0F764B14" w14:textId="77777777" w:rsidTr="008B12DA">
        <w:tc>
          <w:tcPr>
            <w:tcW w:w="900" w:type="dxa"/>
          </w:tcPr>
          <w:p w14:paraId="0AE40B6E" w14:textId="21BCFCD3" w:rsidR="008B12DA" w:rsidRPr="008B12DA" w:rsidRDefault="008B12DA" w:rsidP="008B12DA">
            <w:pPr>
              <w:rPr>
                <w:sz w:val="20"/>
                <w:szCs w:val="20"/>
                <w:lang w:val="en-GB"/>
              </w:rPr>
            </w:pPr>
            <w:r w:rsidRPr="008B12DA">
              <w:rPr>
                <w:sz w:val="20"/>
                <w:szCs w:val="20"/>
                <w:lang w:val="en-GB"/>
              </w:rPr>
              <w:t xml:space="preserve">CESSDA </w:t>
            </w:r>
          </w:p>
          <w:p w14:paraId="5F339F34" w14:textId="1D07B9F7" w:rsidR="008B12DA" w:rsidRPr="008B12DA" w:rsidRDefault="008B12DA" w:rsidP="008B12DA">
            <w:pPr>
              <w:rPr>
                <w:sz w:val="20"/>
                <w:szCs w:val="20"/>
                <w:lang w:val="en-GB"/>
              </w:rPr>
            </w:pPr>
          </w:p>
        </w:tc>
        <w:tc>
          <w:tcPr>
            <w:tcW w:w="2934" w:type="dxa"/>
          </w:tcPr>
          <w:p w14:paraId="5A6F8181" w14:textId="0934266E" w:rsidR="008B12DA" w:rsidRPr="008B12DA" w:rsidRDefault="008B12DA" w:rsidP="008B12DA">
            <w:pPr>
              <w:rPr>
                <w:sz w:val="20"/>
                <w:szCs w:val="20"/>
                <w:lang w:val="en-GB"/>
              </w:rPr>
            </w:pPr>
            <w:r w:rsidRPr="008B12DA">
              <w:rPr>
                <w:sz w:val="20"/>
                <w:szCs w:val="20"/>
                <w:lang w:val="en-GB"/>
              </w:rPr>
              <w:t>Consortium of European Social Science Data Archives</w:t>
            </w:r>
          </w:p>
        </w:tc>
        <w:tc>
          <w:tcPr>
            <w:tcW w:w="1314" w:type="dxa"/>
          </w:tcPr>
          <w:p w14:paraId="02C8161F" w14:textId="4B3F2347" w:rsidR="008B12DA" w:rsidRPr="008B12DA" w:rsidRDefault="008B12DA" w:rsidP="008B12DA">
            <w:pPr>
              <w:rPr>
                <w:sz w:val="20"/>
                <w:szCs w:val="20"/>
                <w:lang w:val="en-GB"/>
              </w:rPr>
            </w:pPr>
            <w:r w:rsidRPr="008B12DA">
              <w:rPr>
                <w:sz w:val="20"/>
                <w:szCs w:val="20"/>
                <w:lang w:val="en-GB"/>
              </w:rPr>
              <w:t>2006, 2013</w:t>
            </w:r>
          </w:p>
        </w:tc>
        <w:tc>
          <w:tcPr>
            <w:tcW w:w="1422" w:type="dxa"/>
          </w:tcPr>
          <w:p w14:paraId="6B4265E7" w14:textId="6D4C3AF6" w:rsidR="008B12DA" w:rsidRPr="008B12DA" w:rsidRDefault="008B12DA" w:rsidP="008B12DA">
            <w:pPr>
              <w:rPr>
                <w:sz w:val="20"/>
                <w:szCs w:val="20"/>
                <w:lang w:val="en-GB"/>
              </w:rPr>
            </w:pPr>
            <w:r w:rsidRPr="008B12DA">
              <w:rPr>
                <w:sz w:val="20"/>
                <w:szCs w:val="20"/>
                <w:lang w:val="en-GB"/>
              </w:rPr>
              <w:t>Norwegian limited company, 2013 ERIC under preparation</w:t>
            </w:r>
          </w:p>
          <w:p w14:paraId="55112001" w14:textId="6A3BE41F" w:rsidR="008B12DA" w:rsidRPr="008B12DA" w:rsidRDefault="008B12DA" w:rsidP="008B12DA">
            <w:pPr>
              <w:rPr>
                <w:sz w:val="20"/>
                <w:szCs w:val="20"/>
                <w:lang w:val="en-GB"/>
              </w:rPr>
            </w:pPr>
          </w:p>
        </w:tc>
        <w:tc>
          <w:tcPr>
            <w:tcW w:w="1025" w:type="dxa"/>
          </w:tcPr>
          <w:p w14:paraId="0D05B94F" w14:textId="199C5FDB" w:rsidR="008B12DA" w:rsidRPr="008B12DA" w:rsidRDefault="008B12DA" w:rsidP="008B12DA">
            <w:pPr>
              <w:rPr>
                <w:sz w:val="20"/>
                <w:szCs w:val="20"/>
                <w:lang w:val="en-GB"/>
              </w:rPr>
            </w:pPr>
            <w:r w:rsidRPr="008B12DA">
              <w:rPr>
                <w:sz w:val="20"/>
                <w:szCs w:val="20"/>
                <w:lang w:val="en-GB"/>
              </w:rPr>
              <w:t xml:space="preserve">NA </w:t>
            </w:r>
          </w:p>
        </w:tc>
        <w:tc>
          <w:tcPr>
            <w:tcW w:w="1377" w:type="dxa"/>
          </w:tcPr>
          <w:p w14:paraId="2FA2B13D" w14:textId="1F16141A" w:rsidR="008B12DA" w:rsidRPr="008B12DA" w:rsidRDefault="008B12DA" w:rsidP="008B12DA">
            <w:pPr>
              <w:rPr>
                <w:sz w:val="20"/>
                <w:szCs w:val="20"/>
                <w:lang w:val="en-GB"/>
              </w:rPr>
            </w:pPr>
            <w:r w:rsidRPr="008B12DA">
              <w:rPr>
                <w:sz w:val="20"/>
                <w:szCs w:val="20"/>
                <w:lang w:val="en-GB"/>
              </w:rPr>
              <w:t>1,9</w:t>
            </w:r>
          </w:p>
        </w:tc>
      </w:tr>
      <w:tr w:rsidR="008B12DA" w:rsidRPr="008B12DA" w14:paraId="2214D539" w14:textId="77777777" w:rsidTr="008B12DA">
        <w:tc>
          <w:tcPr>
            <w:tcW w:w="900" w:type="dxa"/>
          </w:tcPr>
          <w:p w14:paraId="482AF08B" w14:textId="1634F268" w:rsidR="008B12DA" w:rsidRPr="008B12DA" w:rsidRDefault="008B12DA" w:rsidP="00B04DC2">
            <w:pPr>
              <w:rPr>
                <w:sz w:val="20"/>
                <w:szCs w:val="20"/>
                <w:lang w:val="en-GB"/>
              </w:rPr>
            </w:pPr>
            <w:r w:rsidRPr="008B12DA">
              <w:rPr>
                <w:sz w:val="20"/>
                <w:szCs w:val="20"/>
                <w:lang w:val="en-GB"/>
              </w:rPr>
              <w:lastRenderedPageBreak/>
              <w:t>SHARE</w:t>
            </w:r>
          </w:p>
        </w:tc>
        <w:tc>
          <w:tcPr>
            <w:tcW w:w="2934" w:type="dxa"/>
          </w:tcPr>
          <w:p w14:paraId="325AD9C4" w14:textId="168F6FF2" w:rsidR="008B12DA" w:rsidRPr="008B12DA" w:rsidRDefault="008B12DA" w:rsidP="00B04DC2">
            <w:pPr>
              <w:rPr>
                <w:sz w:val="20"/>
                <w:szCs w:val="20"/>
                <w:lang w:val="en-GB"/>
              </w:rPr>
            </w:pPr>
            <w:r w:rsidRPr="008B12DA">
              <w:rPr>
                <w:sz w:val="20"/>
                <w:szCs w:val="20"/>
                <w:lang w:val="en-GB"/>
              </w:rPr>
              <w:t xml:space="preserve">ERIC Survey of Health, Ageing and Retirement in Europe </w:t>
            </w:r>
          </w:p>
        </w:tc>
        <w:tc>
          <w:tcPr>
            <w:tcW w:w="1314" w:type="dxa"/>
          </w:tcPr>
          <w:p w14:paraId="626102CD" w14:textId="26CF7EE1" w:rsidR="008B12DA" w:rsidRPr="008B12DA" w:rsidRDefault="008B12DA" w:rsidP="005820BD">
            <w:pPr>
              <w:rPr>
                <w:sz w:val="20"/>
                <w:szCs w:val="20"/>
                <w:lang w:val="en-GB"/>
              </w:rPr>
            </w:pPr>
            <w:r w:rsidRPr="008B12DA">
              <w:rPr>
                <w:sz w:val="20"/>
                <w:szCs w:val="20"/>
                <w:lang w:val="en-GB"/>
              </w:rPr>
              <w:t>2006, 2011</w:t>
            </w:r>
          </w:p>
        </w:tc>
        <w:tc>
          <w:tcPr>
            <w:tcW w:w="1422" w:type="dxa"/>
          </w:tcPr>
          <w:p w14:paraId="4F59A6E9" w14:textId="7C12B5FB" w:rsidR="008B12DA" w:rsidRPr="008B12DA" w:rsidRDefault="008B12DA" w:rsidP="005820BD">
            <w:pPr>
              <w:rPr>
                <w:sz w:val="20"/>
                <w:szCs w:val="20"/>
                <w:lang w:val="en-GB"/>
              </w:rPr>
            </w:pPr>
            <w:r w:rsidRPr="008B12DA">
              <w:rPr>
                <w:sz w:val="20"/>
                <w:szCs w:val="20"/>
                <w:lang w:val="en-GB"/>
              </w:rPr>
              <w:t>ERIC, 2011</w:t>
            </w:r>
          </w:p>
        </w:tc>
        <w:tc>
          <w:tcPr>
            <w:tcW w:w="1025" w:type="dxa"/>
          </w:tcPr>
          <w:p w14:paraId="3D651B67" w14:textId="084438A8" w:rsidR="008B12DA" w:rsidRPr="008B12DA" w:rsidRDefault="008B12DA" w:rsidP="005820BD">
            <w:pPr>
              <w:rPr>
                <w:sz w:val="20"/>
                <w:szCs w:val="20"/>
                <w:lang w:val="en-GB"/>
              </w:rPr>
            </w:pPr>
            <w:r w:rsidRPr="008B12DA">
              <w:rPr>
                <w:sz w:val="20"/>
                <w:szCs w:val="20"/>
                <w:lang w:val="en-GB"/>
              </w:rPr>
              <w:t>110</w:t>
            </w:r>
          </w:p>
        </w:tc>
        <w:tc>
          <w:tcPr>
            <w:tcW w:w="1377" w:type="dxa"/>
          </w:tcPr>
          <w:p w14:paraId="6AD90154" w14:textId="3BF331A9" w:rsidR="008B12DA" w:rsidRPr="008B12DA" w:rsidRDefault="008B12DA" w:rsidP="005820BD">
            <w:pPr>
              <w:rPr>
                <w:sz w:val="20"/>
                <w:szCs w:val="20"/>
                <w:lang w:val="en-GB"/>
              </w:rPr>
            </w:pPr>
            <w:r w:rsidRPr="008B12DA">
              <w:rPr>
                <w:sz w:val="20"/>
                <w:szCs w:val="20"/>
                <w:lang w:val="en-GB"/>
              </w:rPr>
              <w:t>12</w:t>
            </w:r>
          </w:p>
        </w:tc>
      </w:tr>
      <w:tr w:rsidR="008B12DA" w:rsidRPr="008B12DA" w14:paraId="6D81A74C" w14:textId="77777777" w:rsidTr="008B12DA">
        <w:tc>
          <w:tcPr>
            <w:tcW w:w="900" w:type="dxa"/>
          </w:tcPr>
          <w:p w14:paraId="0C24E0BD" w14:textId="21FC03E0" w:rsidR="008B12DA" w:rsidRPr="008B12DA" w:rsidRDefault="008B12DA" w:rsidP="00B04DC2">
            <w:pPr>
              <w:rPr>
                <w:sz w:val="20"/>
                <w:szCs w:val="20"/>
                <w:lang w:val="en-GB"/>
              </w:rPr>
            </w:pPr>
            <w:r w:rsidRPr="008B12DA">
              <w:rPr>
                <w:sz w:val="20"/>
                <w:szCs w:val="20"/>
                <w:lang w:val="en-GB"/>
              </w:rPr>
              <w:t>ESS ERIC</w:t>
            </w:r>
          </w:p>
        </w:tc>
        <w:tc>
          <w:tcPr>
            <w:tcW w:w="2934" w:type="dxa"/>
          </w:tcPr>
          <w:p w14:paraId="7DCE593F" w14:textId="7BC4FAAE" w:rsidR="008B12DA" w:rsidRPr="008B12DA" w:rsidRDefault="008B12DA" w:rsidP="00B04DC2">
            <w:pPr>
              <w:rPr>
                <w:sz w:val="20"/>
                <w:szCs w:val="20"/>
                <w:lang w:val="en-GB"/>
              </w:rPr>
            </w:pPr>
            <w:r w:rsidRPr="008B12DA">
              <w:rPr>
                <w:sz w:val="20"/>
                <w:szCs w:val="20"/>
                <w:lang w:val="en-GB"/>
              </w:rPr>
              <w:t>European social Survey</w:t>
            </w:r>
          </w:p>
        </w:tc>
        <w:tc>
          <w:tcPr>
            <w:tcW w:w="1314" w:type="dxa"/>
          </w:tcPr>
          <w:p w14:paraId="7042B4A1" w14:textId="01F5C6A4" w:rsidR="008B12DA" w:rsidRPr="008B12DA" w:rsidRDefault="008B12DA" w:rsidP="005820BD">
            <w:pPr>
              <w:rPr>
                <w:sz w:val="20"/>
                <w:szCs w:val="20"/>
                <w:lang w:val="en-GB"/>
              </w:rPr>
            </w:pPr>
            <w:r w:rsidRPr="008B12DA">
              <w:rPr>
                <w:sz w:val="20"/>
                <w:szCs w:val="20"/>
                <w:lang w:val="en-GB"/>
              </w:rPr>
              <w:t>2006, 2013</w:t>
            </w:r>
          </w:p>
        </w:tc>
        <w:tc>
          <w:tcPr>
            <w:tcW w:w="1422" w:type="dxa"/>
          </w:tcPr>
          <w:p w14:paraId="2693AF7C" w14:textId="47C2DFFD" w:rsidR="008B12DA" w:rsidRPr="008B12DA" w:rsidRDefault="008B12DA" w:rsidP="005820BD">
            <w:pPr>
              <w:rPr>
                <w:sz w:val="20"/>
                <w:szCs w:val="20"/>
                <w:lang w:val="en-GB"/>
              </w:rPr>
            </w:pPr>
            <w:r w:rsidRPr="008B12DA">
              <w:rPr>
                <w:sz w:val="20"/>
                <w:szCs w:val="20"/>
                <w:lang w:val="en-GB"/>
              </w:rPr>
              <w:t>ERIC, 2013</w:t>
            </w:r>
          </w:p>
        </w:tc>
        <w:tc>
          <w:tcPr>
            <w:tcW w:w="1025" w:type="dxa"/>
          </w:tcPr>
          <w:p w14:paraId="0ABFF2AE" w14:textId="1A17C9E6" w:rsidR="008B12DA" w:rsidRPr="008B12DA" w:rsidRDefault="008B12DA" w:rsidP="005820BD">
            <w:pPr>
              <w:rPr>
                <w:sz w:val="20"/>
                <w:szCs w:val="20"/>
                <w:lang w:val="en-GB"/>
              </w:rPr>
            </w:pPr>
            <w:r w:rsidRPr="008B12DA">
              <w:rPr>
                <w:sz w:val="20"/>
                <w:szCs w:val="20"/>
                <w:lang w:val="en-GB"/>
              </w:rPr>
              <w:t>NA</w:t>
            </w:r>
          </w:p>
        </w:tc>
        <w:tc>
          <w:tcPr>
            <w:tcW w:w="1377" w:type="dxa"/>
          </w:tcPr>
          <w:p w14:paraId="00CDAD65" w14:textId="1DA93FFE" w:rsidR="008B12DA" w:rsidRPr="008B12DA" w:rsidRDefault="008B12DA" w:rsidP="005820BD">
            <w:pPr>
              <w:rPr>
                <w:sz w:val="20"/>
                <w:szCs w:val="20"/>
                <w:lang w:val="en-GB"/>
              </w:rPr>
            </w:pPr>
            <w:r w:rsidRPr="008B12DA">
              <w:rPr>
                <w:sz w:val="20"/>
                <w:szCs w:val="20"/>
                <w:lang w:val="en-GB"/>
              </w:rPr>
              <w:t>6</w:t>
            </w:r>
          </w:p>
        </w:tc>
      </w:tr>
    </w:tbl>
    <w:p w14:paraId="074BF45D" w14:textId="74F34E10" w:rsidR="00546C2B" w:rsidRPr="00CC681B" w:rsidRDefault="008B12DA" w:rsidP="008B12DA">
      <w:pPr>
        <w:spacing w:before="240"/>
      </w:pPr>
      <w:r>
        <w:rPr>
          <w:lang w:val="en-GB"/>
        </w:rPr>
        <w:t xml:space="preserve">None of the existing ERIC deals with health information on population health and health system performance. </w:t>
      </w:r>
      <w:r w:rsidRPr="008B12DA">
        <w:t xml:space="preserve">There is a need for continued effort to generate better coherence of health information activities in the EU. Completing the landscape with an ERIC on Health Information </w:t>
      </w:r>
      <w:r w:rsidRPr="008B12DA">
        <w:rPr>
          <w:lang w:val="en-GB"/>
        </w:rPr>
        <w:t>for Research and Evidence-based Policy</w:t>
      </w:r>
      <w:r w:rsidRPr="008B12DA">
        <w:t xml:space="preserve"> is crucial to better address the challenges that we face, notably in the provision of sustainable information on population health and health system performance. </w:t>
      </w:r>
      <w:r>
        <w:t xml:space="preserve">The </w:t>
      </w:r>
      <w:r w:rsidRPr="00546C2B">
        <w:t>HIREP-ERIC appears as a legacy of EU Public Health actions having been able to ta</w:t>
      </w:r>
      <w:r>
        <w:t>ke on board scientific-research</w:t>
      </w:r>
      <w:r w:rsidRPr="00546C2B">
        <w:t xml:space="preserve"> technics</w:t>
      </w:r>
      <w:r>
        <w:t xml:space="preserve"> and t</w:t>
      </w:r>
      <w:r w:rsidRPr="00546C2B">
        <w:t xml:space="preserve">ools to the field of </w:t>
      </w:r>
      <w:r>
        <w:t>health information</w:t>
      </w:r>
      <w:r w:rsidRPr="00546C2B">
        <w:t>, but not under DG RTD umbrella, which has been the typical start-up environment of ESFRI initiatives</w:t>
      </w:r>
      <w:r>
        <w:t>.</w:t>
      </w:r>
    </w:p>
    <w:p w14:paraId="48D6B4B0" w14:textId="77777777" w:rsidR="00D61B9B" w:rsidRDefault="00D61B9B" w:rsidP="00D61B9B">
      <w:pPr>
        <w:pStyle w:val="Heading1"/>
      </w:pPr>
      <w:bookmarkStart w:id="31" w:name="_Toc469063813"/>
      <w:r w:rsidRPr="00D87086">
        <w:t>ERIC requirements</w:t>
      </w:r>
      <w:bookmarkEnd w:id="31"/>
      <w:r w:rsidRPr="00D87086">
        <w:t xml:space="preserve"> </w:t>
      </w:r>
    </w:p>
    <w:p w14:paraId="6FDE8FEA" w14:textId="762E1963" w:rsidR="00D61B9B" w:rsidRPr="00D87086" w:rsidRDefault="00D61B9B" w:rsidP="00D61B9B">
      <w:pPr>
        <w:pStyle w:val="Heading2"/>
        <w:rPr>
          <w:lang w:val="en-GB"/>
        </w:rPr>
      </w:pPr>
      <w:bookmarkStart w:id="32" w:name="_Toc469063814"/>
      <w:r w:rsidRPr="00D87086">
        <w:rPr>
          <w:lang w:val="en-GB"/>
        </w:rPr>
        <w:t>Necessity</w:t>
      </w:r>
      <w:bookmarkEnd w:id="32"/>
    </w:p>
    <w:p w14:paraId="4843E4E4" w14:textId="77777777" w:rsidR="002E21C3" w:rsidRDefault="002E21C3" w:rsidP="00D61B9B">
      <w:pPr>
        <w:rPr>
          <w:lang w:val="en-GB"/>
        </w:rPr>
      </w:pPr>
      <w:r>
        <w:rPr>
          <w:lang w:val="en-GB"/>
        </w:rPr>
        <w:t>T</w:t>
      </w:r>
      <w:r w:rsidR="0045282B" w:rsidRPr="00D87086">
        <w:rPr>
          <w:lang w:val="en-GB"/>
        </w:rPr>
        <w:t xml:space="preserve">he necessity for an improved </w:t>
      </w:r>
      <w:r w:rsidR="00792FD4">
        <w:rPr>
          <w:lang w:val="en-GB"/>
        </w:rPr>
        <w:t xml:space="preserve">EU </w:t>
      </w:r>
      <w:r w:rsidR="0045282B" w:rsidRPr="00D87086">
        <w:rPr>
          <w:lang w:val="en-GB"/>
        </w:rPr>
        <w:t xml:space="preserve">health monitoring system and EU health information system has been </w:t>
      </w:r>
      <w:r>
        <w:rPr>
          <w:lang w:val="en-GB"/>
        </w:rPr>
        <w:t>repeatedly stated</w:t>
      </w:r>
      <w:r w:rsidRPr="002E21C3">
        <w:rPr>
          <w:lang w:val="en-GB"/>
        </w:rPr>
        <w:t xml:space="preserve"> </w:t>
      </w:r>
      <w:r>
        <w:rPr>
          <w:lang w:val="en-GB"/>
        </w:rPr>
        <w:t>a</w:t>
      </w:r>
      <w:r w:rsidRPr="00D87086">
        <w:rPr>
          <w:lang w:val="en-GB"/>
        </w:rPr>
        <w:t>t senior</w:t>
      </w:r>
      <w:r>
        <w:rPr>
          <w:lang w:val="en-GB"/>
        </w:rPr>
        <w:t xml:space="preserve"> EU</w:t>
      </w:r>
      <w:r w:rsidRPr="00D87086">
        <w:rPr>
          <w:lang w:val="en-GB"/>
        </w:rPr>
        <w:t xml:space="preserve"> level meetings</w:t>
      </w:r>
      <w:r w:rsidR="0045282B" w:rsidRPr="00D87086">
        <w:rPr>
          <w:lang w:val="en-GB"/>
        </w:rPr>
        <w:t xml:space="preserve">. </w:t>
      </w:r>
    </w:p>
    <w:p w14:paraId="6FB0D36B" w14:textId="77777777" w:rsidR="001D10E3" w:rsidRPr="00792FD4" w:rsidRDefault="001D10E3" w:rsidP="00792FD4">
      <w:pPr>
        <w:spacing w:after="240"/>
        <w:ind w:left="720"/>
        <w:rPr>
          <w:lang w:val="en-GB"/>
        </w:rPr>
      </w:pPr>
      <w:r w:rsidRPr="00792FD4">
        <w:rPr>
          <w:lang w:val="en-GB"/>
        </w:rPr>
        <w:t xml:space="preserve">The Council Conclusions on closing the gaps within the EU through concerted action to promote healthy lifestyle behaviours of December 2011 called on the European Commission to </w:t>
      </w:r>
      <w:r w:rsidR="008C5941" w:rsidRPr="00792FD4">
        <w:rPr>
          <w:lang w:val="en-GB"/>
        </w:rPr>
        <w:t>“</w:t>
      </w:r>
      <w:r w:rsidRPr="00792FD4">
        <w:rPr>
          <w:i/>
          <w:lang w:val="en-GB"/>
        </w:rPr>
        <w:t>consider the need for better deployment of existing data and additional comparative data and information on unhealthy lifestyle behaviours, social health determinants and non-communicable chronic disease</w:t>
      </w:r>
      <w:r w:rsidR="00A90AAC" w:rsidRPr="00792FD4">
        <w:rPr>
          <w:i/>
          <w:lang w:val="en-GB"/>
        </w:rPr>
        <w:t>s</w:t>
      </w:r>
      <w:r w:rsidRPr="00792FD4">
        <w:rPr>
          <w:lang w:val="en-GB"/>
        </w:rPr>
        <w:t xml:space="preserve">. </w:t>
      </w:r>
      <w:r w:rsidRPr="00792FD4">
        <w:rPr>
          <w:i/>
          <w:lang w:val="en-GB"/>
        </w:rPr>
        <w:t>This should be obtained from a sustainable health monitoring system already in place or which might be established at EU level.</w:t>
      </w:r>
      <w:r w:rsidR="008C5941" w:rsidRPr="00792FD4">
        <w:rPr>
          <w:i/>
          <w:lang w:val="en-GB"/>
        </w:rPr>
        <w:t>”</w:t>
      </w:r>
      <w:r w:rsidRPr="00792FD4">
        <w:rPr>
          <w:lang w:val="en-GB"/>
        </w:rPr>
        <w:t xml:space="preserve"> </w:t>
      </w:r>
    </w:p>
    <w:p w14:paraId="6DABB2D8" w14:textId="77777777" w:rsidR="00A31676" w:rsidRPr="00792FD4" w:rsidRDefault="001D10E3" w:rsidP="00792FD4">
      <w:pPr>
        <w:spacing w:after="240"/>
        <w:ind w:left="720"/>
        <w:rPr>
          <w:lang w:val="en-GB"/>
        </w:rPr>
      </w:pPr>
      <w:r w:rsidRPr="00792FD4">
        <w:rPr>
          <w:lang w:val="en-GB"/>
        </w:rPr>
        <w:t>Furthermore, the Health Ministers invited the Commission and the Member States</w:t>
      </w:r>
      <w:r w:rsidR="00F91BA2" w:rsidRPr="00792FD4">
        <w:rPr>
          <w:lang w:val="en-GB"/>
        </w:rPr>
        <w:t xml:space="preserve"> in the Council conclusions on the reflexion process on modern, responsive and su</w:t>
      </w:r>
      <w:r w:rsidR="00545224" w:rsidRPr="00792FD4">
        <w:rPr>
          <w:lang w:val="en-GB"/>
        </w:rPr>
        <w:t>stainable health systems from</w:t>
      </w:r>
      <w:r w:rsidR="00F91BA2" w:rsidRPr="00792FD4">
        <w:rPr>
          <w:lang w:val="en-GB"/>
        </w:rPr>
        <w:t xml:space="preserve"> December 2013</w:t>
      </w:r>
      <w:r w:rsidRPr="00792FD4">
        <w:rPr>
          <w:lang w:val="en-GB"/>
        </w:rPr>
        <w:t xml:space="preserve"> “</w:t>
      </w:r>
      <w:r w:rsidRPr="00792FD4">
        <w:rPr>
          <w:i/>
          <w:lang w:val="en-GB"/>
        </w:rPr>
        <w:t>to cooperate with a view to establish a sustainable and integrated EU health information system. This should build on what has already been achieved by different groups and projects exploring in particular the potential of a comprehensive health information research infrastructure consortium as a tool</w:t>
      </w:r>
      <w:r w:rsidRPr="00792FD4">
        <w:rPr>
          <w:lang w:val="en-GB"/>
        </w:rPr>
        <w:t>”.</w:t>
      </w:r>
    </w:p>
    <w:p w14:paraId="33054BE1" w14:textId="27263FAA" w:rsidR="00AA465A" w:rsidRDefault="00792FD4" w:rsidP="00DF1F50">
      <w:pPr>
        <w:rPr>
          <w:lang w:val="en-GB"/>
        </w:rPr>
      </w:pPr>
      <w:r>
        <w:rPr>
          <w:lang w:val="en-GB"/>
        </w:rPr>
        <w:t>Also at Member state level this need has become more apparent</w:t>
      </w:r>
      <w:r w:rsidR="00C16565">
        <w:rPr>
          <w:lang w:val="en-GB"/>
        </w:rPr>
        <w:t>.</w:t>
      </w:r>
      <w:r>
        <w:rPr>
          <w:lang w:val="en-GB"/>
        </w:rPr>
        <w:t xml:space="preserve"> </w:t>
      </w:r>
      <w:r w:rsidR="00F54C20">
        <w:rPr>
          <w:lang w:val="en-GB"/>
        </w:rPr>
        <w:t>EU countries</w:t>
      </w:r>
      <w:r w:rsidR="00B07C88" w:rsidRPr="00D87086">
        <w:rPr>
          <w:lang w:val="en-GB"/>
        </w:rPr>
        <w:t xml:space="preserve"> are facing increasingly common challenges such as ageing populations, rising expectations for high quality services and the emergence of new, more expensive technologies. The</w:t>
      </w:r>
      <w:r>
        <w:rPr>
          <w:lang w:val="en-GB"/>
        </w:rPr>
        <w:t>se common</w:t>
      </w:r>
      <w:r w:rsidR="00B07C88" w:rsidRPr="00D87086">
        <w:rPr>
          <w:lang w:val="en-GB"/>
        </w:rPr>
        <w:t xml:space="preserve"> challenges have </w:t>
      </w:r>
      <w:r w:rsidR="00C16565">
        <w:rPr>
          <w:lang w:val="en-GB"/>
        </w:rPr>
        <w:t>become</w:t>
      </w:r>
      <w:r>
        <w:rPr>
          <w:lang w:val="en-GB"/>
        </w:rPr>
        <w:t xml:space="preserve"> even harder to overcome</w:t>
      </w:r>
      <w:r w:rsidR="00B07C88" w:rsidRPr="00D87086">
        <w:rPr>
          <w:lang w:val="en-GB"/>
        </w:rPr>
        <w:t xml:space="preserve"> with the curbs on public spending in the wake of the financial crisis</w:t>
      </w:r>
      <w:r w:rsidR="00DF1F50" w:rsidRPr="00D87086">
        <w:rPr>
          <w:lang w:val="en-GB"/>
        </w:rPr>
        <w:t xml:space="preserve"> (1</w:t>
      </w:r>
      <w:r w:rsidR="00A57BA7" w:rsidRPr="00D87086">
        <w:rPr>
          <w:lang w:val="en-GB"/>
        </w:rPr>
        <w:t>2</w:t>
      </w:r>
      <w:r w:rsidR="00DF1F50" w:rsidRPr="00D87086">
        <w:rPr>
          <w:lang w:val="en-GB"/>
        </w:rPr>
        <w:t>)</w:t>
      </w:r>
      <w:r w:rsidR="00B07C88" w:rsidRPr="00D87086">
        <w:rPr>
          <w:lang w:val="en-GB"/>
        </w:rPr>
        <w:t xml:space="preserve">. </w:t>
      </w:r>
      <w:r>
        <w:rPr>
          <w:lang w:val="en-GB"/>
        </w:rPr>
        <w:t xml:space="preserve">Setting up a structure at EU level will allow </w:t>
      </w:r>
      <w:proofErr w:type="gramStart"/>
      <w:r>
        <w:rPr>
          <w:lang w:val="en-GB"/>
        </w:rPr>
        <w:t>to tackle</w:t>
      </w:r>
      <w:proofErr w:type="gramEnd"/>
      <w:r>
        <w:rPr>
          <w:lang w:val="en-GB"/>
        </w:rPr>
        <w:t xml:space="preserve"> current challenges much more effectively. </w:t>
      </w:r>
    </w:p>
    <w:p w14:paraId="6EF8F5C9" w14:textId="08FC3D36" w:rsidR="00DF1F50" w:rsidRPr="00D87086" w:rsidRDefault="00B07C88" w:rsidP="00DF1F50">
      <w:pPr>
        <w:rPr>
          <w:lang w:val="en-GB"/>
        </w:rPr>
      </w:pPr>
      <w:r w:rsidRPr="00D87086">
        <w:rPr>
          <w:lang w:val="en-GB"/>
        </w:rPr>
        <w:t xml:space="preserve">The HIREP-ERIC </w:t>
      </w:r>
      <w:r w:rsidR="00792FD4">
        <w:rPr>
          <w:lang w:val="en-GB"/>
        </w:rPr>
        <w:t xml:space="preserve">will </w:t>
      </w:r>
      <w:r w:rsidRPr="00D87086">
        <w:rPr>
          <w:lang w:val="en-GB"/>
        </w:rPr>
        <w:t xml:space="preserve">strengthen cooperation mechanisms and coordination processes between </w:t>
      </w:r>
      <w:r w:rsidR="00F54C20">
        <w:rPr>
          <w:lang w:val="en-GB"/>
        </w:rPr>
        <w:t>EU countries</w:t>
      </w:r>
      <w:r w:rsidRPr="00D87086">
        <w:rPr>
          <w:lang w:val="en-GB"/>
        </w:rPr>
        <w:t xml:space="preserve"> with a view to identify common tools and best practices that create synergies, bring EU added value and lea</w:t>
      </w:r>
      <w:r w:rsidR="00A31676" w:rsidRPr="00D87086">
        <w:rPr>
          <w:lang w:val="en-GB"/>
        </w:rPr>
        <w:t>d</w:t>
      </w:r>
      <w:r w:rsidRPr="00D87086">
        <w:rPr>
          <w:lang w:val="en-GB"/>
        </w:rPr>
        <w:t xml:space="preserve"> to economies of scale, </w:t>
      </w:r>
      <w:r w:rsidR="00DF1F50" w:rsidRPr="00D87086">
        <w:rPr>
          <w:lang w:val="en-GB"/>
        </w:rPr>
        <w:t>and support evidence-based policy making</w:t>
      </w:r>
      <w:r w:rsidRPr="00D87086">
        <w:rPr>
          <w:lang w:val="en-GB"/>
        </w:rPr>
        <w:t>.</w:t>
      </w:r>
      <w:r w:rsidR="00A31676" w:rsidRPr="00D87086">
        <w:rPr>
          <w:lang w:val="en-GB"/>
        </w:rPr>
        <w:t xml:space="preserve"> </w:t>
      </w:r>
    </w:p>
    <w:p w14:paraId="5FFA20D2" w14:textId="500E8F2E" w:rsidR="0045282B" w:rsidRDefault="00C16565" w:rsidP="00DF1F50">
      <w:pPr>
        <w:rPr>
          <w:lang w:val="en-GB"/>
        </w:rPr>
      </w:pPr>
      <w:r>
        <w:rPr>
          <w:lang w:val="en-GB"/>
        </w:rPr>
        <w:lastRenderedPageBreak/>
        <w:t>The HIREP-ERIC will</w:t>
      </w:r>
      <w:r w:rsidRPr="00C16565">
        <w:rPr>
          <w:lang w:val="en-GB"/>
        </w:rPr>
        <w:t xml:space="preserve"> provide a backbone and sustainable infrastructure to support population health monitoring and health sys</w:t>
      </w:r>
      <w:r>
        <w:rPr>
          <w:lang w:val="en-GB"/>
        </w:rPr>
        <w:t>tem performance assessment,</w:t>
      </w:r>
      <w:r w:rsidR="00AA465A">
        <w:rPr>
          <w:lang w:val="en-GB"/>
        </w:rPr>
        <w:t xml:space="preserve"> and related research,</w:t>
      </w:r>
      <w:r>
        <w:rPr>
          <w:lang w:val="en-GB"/>
        </w:rPr>
        <w:t xml:space="preserve"> by:</w:t>
      </w:r>
    </w:p>
    <w:p w14:paraId="19C9FB6C" w14:textId="77777777" w:rsidR="003C3C7A" w:rsidRPr="003C3C7A" w:rsidRDefault="003C3C7A" w:rsidP="00890E38">
      <w:pPr>
        <w:pStyle w:val="ListParagraph"/>
        <w:numPr>
          <w:ilvl w:val="0"/>
          <w:numId w:val="21"/>
        </w:numPr>
        <w:rPr>
          <w:lang w:val="en-GB"/>
        </w:rPr>
      </w:pPr>
      <w:r w:rsidRPr="003C3C7A">
        <w:rPr>
          <w:lang w:val="en-GB"/>
        </w:rPr>
        <w:t xml:space="preserve">generating knowledge on health data and indicators, </w:t>
      </w:r>
    </w:p>
    <w:p w14:paraId="74BF1D9F" w14:textId="77777777" w:rsidR="003C3C7A" w:rsidRPr="003C3C7A" w:rsidRDefault="003C3C7A" w:rsidP="00890E38">
      <w:pPr>
        <w:pStyle w:val="ListParagraph"/>
        <w:numPr>
          <w:ilvl w:val="0"/>
          <w:numId w:val="21"/>
        </w:numPr>
        <w:rPr>
          <w:lang w:val="en-GB"/>
        </w:rPr>
      </w:pPr>
      <w:r w:rsidRPr="003C3C7A">
        <w:rPr>
          <w:lang w:val="en-GB"/>
        </w:rPr>
        <w:t xml:space="preserve">hosting a knowledge management centre with repository platforms for data, tools and methods, </w:t>
      </w:r>
    </w:p>
    <w:p w14:paraId="62E05039" w14:textId="77777777" w:rsidR="003C3C7A" w:rsidRPr="003C3C7A" w:rsidRDefault="003C3C7A" w:rsidP="00890E38">
      <w:pPr>
        <w:pStyle w:val="ListParagraph"/>
        <w:numPr>
          <w:ilvl w:val="0"/>
          <w:numId w:val="21"/>
        </w:numPr>
        <w:rPr>
          <w:lang w:val="en-GB"/>
        </w:rPr>
      </w:pPr>
      <w:r w:rsidRPr="003C3C7A">
        <w:rPr>
          <w:lang w:val="en-GB"/>
        </w:rPr>
        <w:t xml:space="preserve">supporting knowledge exchange and transfer for policy and decision-making, </w:t>
      </w:r>
    </w:p>
    <w:p w14:paraId="52729776" w14:textId="7C121CBB" w:rsidR="003C3C7A" w:rsidRPr="00FD75D3" w:rsidRDefault="00FD75D3" w:rsidP="00FD75D3">
      <w:pPr>
        <w:pStyle w:val="ListParagraph"/>
        <w:numPr>
          <w:ilvl w:val="0"/>
          <w:numId w:val="21"/>
        </w:numPr>
        <w:rPr>
          <w:lang w:val="en-GB"/>
        </w:rPr>
      </w:pPr>
      <w:r w:rsidRPr="00FD75D3">
        <w:rPr>
          <w:lang w:val="en-GB"/>
        </w:rPr>
        <w:t>Prioritising a</w:t>
      </w:r>
      <w:r>
        <w:rPr>
          <w:lang w:val="en-GB"/>
        </w:rPr>
        <w:t>nd financing health information</w:t>
      </w:r>
      <w:r w:rsidR="003C3C7A" w:rsidRPr="00FD75D3">
        <w:rPr>
          <w:lang w:val="en-GB"/>
        </w:rPr>
        <w:t xml:space="preserve">, and </w:t>
      </w:r>
    </w:p>
    <w:p w14:paraId="11297445" w14:textId="6D743469" w:rsidR="003C3C7A" w:rsidRPr="003C3C7A" w:rsidRDefault="009602FC" w:rsidP="00890E38">
      <w:pPr>
        <w:pStyle w:val="ListParagraph"/>
        <w:numPr>
          <w:ilvl w:val="0"/>
          <w:numId w:val="21"/>
        </w:numPr>
        <w:spacing w:after="240"/>
        <w:rPr>
          <w:lang w:val="en-GB"/>
        </w:rPr>
      </w:pPr>
      <w:r>
        <w:rPr>
          <w:lang w:val="en-GB"/>
        </w:rPr>
        <w:t>L</w:t>
      </w:r>
      <w:r w:rsidR="003C3C7A" w:rsidRPr="003C3C7A">
        <w:rPr>
          <w:lang w:val="en-GB"/>
        </w:rPr>
        <w:t>iaising with regional, national, European and international organisations.</w:t>
      </w:r>
    </w:p>
    <w:p w14:paraId="7E5E2BD7" w14:textId="77777777" w:rsidR="00A31676" w:rsidRPr="00D87086" w:rsidRDefault="0045282B" w:rsidP="00A31676">
      <w:pPr>
        <w:rPr>
          <w:lang w:val="en-GB"/>
        </w:rPr>
      </w:pPr>
      <w:r w:rsidRPr="00D87086">
        <w:rPr>
          <w:lang w:val="en-GB"/>
        </w:rPr>
        <w:t>The</w:t>
      </w:r>
      <w:r w:rsidR="00A31676" w:rsidRPr="00D87086">
        <w:rPr>
          <w:lang w:val="en-GB"/>
        </w:rPr>
        <w:t xml:space="preserve"> HIREP-ERIC offers the technical facilities, the agreements on standards and the organisational framework that are necessary to make the sharing of comparable health data possible at European scale.</w:t>
      </w:r>
      <w:r w:rsidR="00C16565" w:rsidRPr="00C16565">
        <w:rPr>
          <w:lang w:val="en-GB"/>
        </w:rPr>
        <w:t xml:space="preserve"> </w:t>
      </w:r>
      <w:r w:rsidR="00C16565" w:rsidRPr="00D87086">
        <w:rPr>
          <w:lang w:val="en-GB"/>
        </w:rPr>
        <w:t>Only an entity operational at EU level can achieve this.</w:t>
      </w:r>
    </w:p>
    <w:p w14:paraId="7DC4E0D2" w14:textId="77777777" w:rsidR="00A31676" w:rsidRPr="00D87086" w:rsidRDefault="0045282B" w:rsidP="00A31676">
      <w:pPr>
        <w:rPr>
          <w:lang w:val="en-GB"/>
        </w:rPr>
      </w:pPr>
      <w:r w:rsidRPr="00D87086">
        <w:rPr>
          <w:lang w:val="en-GB"/>
        </w:rPr>
        <w:t>In addition, t</w:t>
      </w:r>
      <w:r w:rsidR="00A31676" w:rsidRPr="00D87086">
        <w:rPr>
          <w:lang w:val="en-GB"/>
        </w:rPr>
        <w:t>he HIREP-ERIC provides a governance body which has the following advantages:</w:t>
      </w:r>
    </w:p>
    <w:p w14:paraId="04F1D31A" w14:textId="77777777" w:rsidR="00A31676" w:rsidRPr="00D87086" w:rsidRDefault="00D32C64" w:rsidP="00890E38">
      <w:pPr>
        <w:pStyle w:val="ListParagraph"/>
        <w:numPr>
          <w:ilvl w:val="0"/>
          <w:numId w:val="10"/>
        </w:numPr>
        <w:rPr>
          <w:lang w:val="en-GB"/>
        </w:rPr>
      </w:pPr>
      <w:r>
        <w:rPr>
          <w:lang w:val="en-GB"/>
        </w:rPr>
        <w:t>AN ERIC is not project based which is</w:t>
      </w:r>
      <w:r w:rsidR="00A31676" w:rsidRPr="00D87086">
        <w:rPr>
          <w:lang w:val="en-GB"/>
        </w:rPr>
        <w:t xml:space="preserve"> more sustainable.</w:t>
      </w:r>
    </w:p>
    <w:p w14:paraId="4C3C34D5" w14:textId="77777777" w:rsidR="00A31676" w:rsidRPr="00D87086" w:rsidRDefault="00A31676" w:rsidP="00890E38">
      <w:pPr>
        <w:pStyle w:val="ListParagraph"/>
        <w:numPr>
          <w:ilvl w:val="0"/>
          <w:numId w:val="10"/>
        </w:numPr>
        <w:rPr>
          <w:lang w:val="en-GB"/>
        </w:rPr>
      </w:pPr>
      <w:r w:rsidRPr="00D87086">
        <w:rPr>
          <w:lang w:val="en-GB"/>
        </w:rPr>
        <w:t xml:space="preserve">An ERIC has authority </w:t>
      </w:r>
      <w:r w:rsidR="00A90AAC">
        <w:rPr>
          <w:lang w:val="en-GB"/>
        </w:rPr>
        <w:t xml:space="preserve">and </w:t>
      </w:r>
      <w:r w:rsidR="00D32C64">
        <w:rPr>
          <w:lang w:val="en-GB"/>
        </w:rPr>
        <w:t xml:space="preserve">a </w:t>
      </w:r>
      <w:r w:rsidR="007A52E5">
        <w:rPr>
          <w:lang w:val="en-GB"/>
        </w:rPr>
        <w:t>strong</w:t>
      </w:r>
      <w:r w:rsidR="00A90AAC">
        <w:rPr>
          <w:lang w:val="en-GB"/>
        </w:rPr>
        <w:t xml:space="preserve"> legal base</w:t>
      </w:r>
      <w:r w:rsidRPr="00D87086">
        <w:rPr>
          <w:lang w:val="en-GB"/>
        </w:rPr>
        <w:t>.</w:t>
      </w:r>
      <w:r w:rsidR="00D32C64">
        <w:rPr>
          <w:lang w:val="en-GB"/>
        </w:rPr>
        <w:t xml:space="preserve"> It provides instant legal recognition at EU level.</w:t>
      </w:r>
    </w:p>
    <w:p w14:paraId="3CC3A58C" w14:textId="77777777" w:rsidR="00A31676" w:rsidRPr="00D87086" w:rsidRDefault="00A31676" w:rsidP="00890E38">
      <w:pPr>
        <w:pStyle w:val="ListParagraph"/>
        <w:numPr>
          <w:ilvl w:val="0"/>
          <w:numId w:val="10"/>
        </w:numPr>
        <w:rPr>
          <w:lang w:val="en-GB"/>
        </w:rPr>
      </w:pPr>
      <w:r w:rsidRPr="00D87086">
        <w:rPr>
          <w:lang w:val="en-GB"/>
        </w:rPr>
        <w:t xml:space="preserve">Through the </w:t>
      </w:r>
      <w:r w:rsidR="00C66A0E">
        <w:rPr>
          <w:lang w:val="en-GB"/>
        </w:rPr>
        <w:t xml:space="preserve">participation of countries </w:t>
      </w:r>
      <w:r w:rsidRPr="00D87086">
        <w:rPr>
          <w:lang w:val="en-GB"/>
        </w:rPr>
        <w:t xml:space="preserve">it is in a better position to </w:t>
      </w:r>
      <w:r w:rsidR="00C66A0E">
        <w:rPr>
          <w:lang w:val="en-GB"/>
        </w:rPr>
        <w:t>support</w:t>
      </w:r>
      <w:r w:rsidRPr="00D87086">
        <w:rPr>
          <w:lang w:val="en-GB"/>
        </w:rPr>
        <w:t xml:space="preserve"> sharing of research results and data, and the adoption of methodologies by the research community and by operators of infrastructures at the national level.</w:t>
      </w:r>
    </w:p>
    <w:p w14:paraId="38B2C15A" w14:textId="77777777" w:rsidR="00A31676" w:rsidRDefault="00A31676" w:rsidP="00890E38">
      <w:pPr>
        <w:pStyle w:val="ListParagraph"/>
        <w:numPr>
          <w:ilvl w:val="0"/>
          <w:numId w:val="10"/>
        </w:numPr>
        <w:rPr>
          <w:lang w:val="en-GB"/>
        </w:rPr>
      </w:pPr>
      <w:r w:rsidRPr="00D87086">
        <w:rPr>
          <w:lang w:val="en-GB"/>
        </w:rPr>
        <w:t>An ERIC can apply for funding from EC programmes as a full consortium.</w:t>
      </w:r>
    </w:p>
    <w:p w14:paraId="3CB07D33" w14:textId="77777777" w:rsidR="00D32C64" w:rsidRPr="00D87086" w:rsidRDefault="00D32C64" w:rsidP="00890E38">
      <w:pPr>
        <w:pStyle w:val="ListParagraph"/>
        <w:numPr>
          <w:ilvl w:val="0"/>
          <w:numId w:val="10"/>
        </w:numPr>
        <w:rPr>
          <w:lang w:val="en-GB"/>
        </w:rPr>
      </w:pPr>
      <w:r>
        <w:rPr>
          <w:lang w:val="en-GB"/>
        </w:rPr>
        <w:t>An ERIC can assure continuity, maintenance and sustainability.</w:t>
      </w:r>
    </w:p>
    <w:p w14:paraId="59BFEFC2" w14:textId="77777777" w:rsidR="00D61B9B" w:rsidRPr="00D87086" w:rsidRDefault="00D61B9B" w:rsidP="00DF1F50">
      <w:pPr>
        <w:pStyle w:val="Heading2"/>
        <w:rPr>
          <w:lang w:val="en-GB"/>
        </w:rPr>
      </w:pPr>
      <w:bookmarkStart w:id="33" w:name="_Toc469063815"/>
      <w:r w:rsidRPr="00D87086">
        <w:rPr>
          <w:lang w:val="en-GB"/>
        </w:rPr>
        <w:t>Strengthening the European Research Area (ERA)</w:t>
      </w:r>
      <w:bookmarkEnd w:id="33"/>
    </w:p>
    <w:p w14:paraId="335DC456" w14:textId="1BC903B2" w:rsidR="00DF1F50" w:rsidRDefault="001E2020" w:rsidP="00CA4C3B">
      <w:pPr>
        <w:spacing w:after="0"/>
        <w:rPr>
          <w:lang w:val="en-GB"/>
        </w:rPr>
      </w:pPr>
      <w:r w:rsidRPr="00D87086">
        <w:rPr>
          <w:lang w:val="en-GB"/>
        </w:rPr>
        <w:t xml:space="preserve">The HIREP-ERIC strengthens the ERA by </w:t>
      </w:r>
      <w:r w:rsidR="00CA4C3B">
        <w:rPr>
          <w:lang w:val="en-GB"/>
        </w:rPr>
        <w:t xml:space="preserve">providing joint access to better </w:t>
      </w:r>
      <w:r w:rsidR="00C16565">
        <w:rPr>
          <w:lang w:val="en-GB"/>
        </w:rPr>
        <w:t xml:space="preserve">and comparable </w:t>
      </w:r>
      <w:r w:rsidR="00CA4C3B">
        <w:rPr>
          <w:lang w:val="en-GB"/>
        </w:rPr>
        <w:t>data</w:t>
      </w:r>
      <w:r w:rsidRPr="00D87086">
        <w:rPr>
          <w:lang w:val="en-GB"/>
        </w:rPr>
        <w:t>, tools and methods. Joint research across Europe requires joint access to the data collections, across national frontiers. By interconnecting these collections and providing</w:t>
      </w:r>
      <w:r w:rsidR="00FD75D3">
        <w:rPr>
          <w:lang w:val="en-GB"/>
        </w:rPr>
        <w:t xml:space="preserve"> virtual</w:t>
      </w:r>
      <w:r w:rsidRPr="00D87086">
        <w:rPr>
          <w:lang w:val="en-GB"/>
        </w:rPr>
        <w:t xml:space="preserve"> access, </w:t>
      </w:r>
      <w:r w:rsidR="00C16565">
        <w:rPr>
          <w:lang w:val="en-GB"/>
        </w:rPr>
        <w:t xml:space="preserve">the </w:t>
      </w:r>
      <w:r w:rsidRPr="00D87086">
        <w:rPr>
          <w:lang w:val="en-GB"/>
        </w:rPr>
        <w:t>HIREP-ERIC constitutes a key facilitator for transnational research in health information. This will give the ERA new impulses.</w:t>
      </w:r>
    </w:p>
    <w:p w14:paraId="2F41EF6F" w14:textId="77777777" w:rsidR="00C16565" w:rsidRPr="00CA4C3B" w:rsidRDefault="00C16565" w:rsidP="00CA4C3B">
      <w:pPr>
        <w:spacing w:after="0"/>
        <w:rPr>
          <w:lang w:val="en-GB"/>
        </w:rPr>
      </w:pPr>
    </w:p>
    <w:p w14:paraId="0F8B4726" w14:textId="77777777" w:rsidR="007D31A6" w:rsidRDefault="00330B45" w:rsidP="007D31A6">
      <w:pPr>
        <w:spacing w:after="0"/>
        <w:rPr>
          <w:lang w:val="en-GB"/>
        </w:rPr>
      </w:pPr>
      <w:r>
        <w:rPr>
          <w:lang w:val="en-GB"/>
        </w:rPr>
        <w:t>Furthermore, t</w:t>
      </w:r>
      <w:r w:rsidR="001E2020" w:rsidRPr="00D87086">
        <w:rPr>
          <w:lang w:val="en-GB"/>
        </w:rPr>
        <w:t xml:space="preserve">he HIREP-ERIC </w:t>
      </w:r>
      <w:r w:rsidR="00C16565">
        <w:rPr>
          <w:lang w:val="en-GB"/>
        </w:rPr>
        <w:t>will strengthen</w:t>
      </w:r>
      <w:r w:rsidR="00C16565" w:rsidRPr="00D87086">
        <w:rPr>
          <w:lang w:val="en-GB"/>
        </w:rPr>
        <w:t xml:space="preserve"> research and research input by expanding knowledge, disseminating existing knowledge, and enhancing research capacity in the EU and partner countries.</w:t>
      </w:r>
      <w:r w:rsidR="00C16565" w:rsidRPr="00C16565">
        <w:rPr>
          <w:lang w:val="en-GB"/>
        </w:rPr>
        <w:t xml:space="preserve"> </w:t>
      </w:r>
      <w:r w:rsidR="00C16565">
        <w:rPr>
          <w:lang w:val="en-GB"/>
        </w:rPr>
        <w:t xml:space="preserve">It </w:t>
      </w:r>
      <w:r w:rsidR="007D31A6">
        <w:rPr>
          <w:lang w:val="en-GB"/>
        </w:rPr>
        <w:t>expands knowledge and builds</w:t>
      </w:r>
      <w:r w:rsidR="001E2020" w:rsidRPr="00D87086">
        <w:rPr>
          <w:lang w:val="en-GB"/>
        </w:rPr>
        <w:t xml:space="preserve"> new research on the a</w:t>
      </w:r>
      <w:r w:rsidR="000832D6" w:rsidRPr="00D87086">
        <w:rPr>
          <w:lang w:val="en-GB"/>
        </w:rPr>
        <w:t>chievements of earlier efforts, where t</w:t>
      </w:r>
      <w:r w:rsidR="001E2020" w:rsidRPr="00D87086">
        <w:rPr>
          <w:lang w:val="en-GB"/>
        </w:rPr>
        <w:t xml:space="preserve">he results </w:t>
      </w:r>
      <w:r w:rsidR="000832D6" w:rsidRPr="00D87086">
        <w:rPr>
          <w:lang w:val="en-GB"/>
        </w:rPr>
        <w:t xml:space="preserve">can be broadly </w:t>
      </w:r>
      <w:r w:rsidR="00A90AAC">
        <w:rPr>
          <w:lang w:val="en-GB"/>
        </w:rPr>
        <w:t>and more su</w:t>
      </w:r>
      <w:r w:rsidR="007612B6">
        <w:rPr>
          <w:lang w:val="en-GB"/>
        </w:rPr>
        <w:t>s</w:t>
      </w:r>
      <w:r w:rsidR="00A90AAC">
        <w:rPr>
          <w:lang w:val="en-GB"/>
        </w:rPr>
        <w:t>tainably</w:t>
      </w:r>
      <w:r w:rsidR="000832D6" w:rsidRPr="004C7100">
        <w:rPr>
          <w:lang w:val="en-GB"/>
        </w:rPr>
        <w:t xml:space="preserve"> </w:t>
      </w:r>
      <w:r w:rsidR="000832D6" w:rsidRPr="00D87086">
        <w:rPr>
          <w:lang w:val="en-GB"/>
        </w:rPr>
        <w:t xml:space="preserve">disseminated. The HIREP-ERIC will be an instrument to share on a European scale results obtained through national or international research activities. It will allow </w:t>
      </w:r>
      <w:proofErr w:type="gramStart"/>
      <w:r w:rsidR="000832D6" w:rsidRPr="00D87086">
        <w:rPr>
          <w:lang w:val="en-GB"/>
        </w:rPr>
        <w:t>to interconnect researchers, their data, methods and results across national and discipline</w:t>
      </w:r>
      <w:proofErr w:type="gramEnd"/>
      <w:r w:rsidR="000832D6" w:rsidRPr="00D87086">
        <w:rPr>
          <w:lang w:val="en-GB"/>
        </w:rPr>
        <w:t xml:space="preserve"> borders. </w:t>
      </w:r>
      <w:r>
        <w:rPr>
          <w:lang w:val="en-GB"/>
        </w:rPr>
        <w:t>The HIREP-ERIC will also contribute</w:t>
      </w:r>
      <w:r w:rsidRPr="00D87086">
        <w:rPr>
          <w:lang w:val="en-GB"/>
        </w:rPr>
        <w:t xml:space="preserve"> to relevant research outputs such as new research tools, </w:t>
      </w:r>
      <w:r>
        <w:rPr>
          <w:lang w:val="en-GB"/>
        </w:rPr>
        <w:t xml:space="preserve">new data collection methods and gathering, </w:t>
      </w:r>
      <w:r w:rsidRPr="00D87086">
        <w:rPr>
          <w:lang w:val="en-GB"/>
        </w:rPr>
        <w:t>platform for ad hoc databases</w:t>
      </w:r>
      <w:r w:rsidRPr="00882700">
        <w:rPr>
          <w:lang w:val="en-GB"/>
        </w:rPr>
        <w:t>,</w:t>
      </w:r>
      <w:r w:rsidRPr="00D87086">
        <w:rPr>
          <w:lang w:val="en-GB"/>
        </w:rPr>
        <w:t xml:space="preserve"> </w:t>
      </w:r>
      <w:r>
        <w:rPr>
          <w:lang w:val="en-GB"/>
        </w:rPr>
        <w:t xml:space="preserve">(pre-/post-) </w:t>
      </w:r>
      <w:r w:rsidRPr="00D87086">
        <w:rPr>
          <w:lang w:val="en-GB"/>
        </w:rPr>
        <w:t>harmonisation of data collection</w:t>
      </w:r>
      <w:r>
        <w:rPr>
          <w:lang w:val="en-GB"/>
        </w:rPr>
        <w:t>,</w:t>
      </w:r>
      <w:r w:rsidRPr="00D87086">
        <w:rPr>
          <w:lang w:val="en-GB"/>
        </w:rPr>
        <w:t xml:space="preserve"> and methods development though innovating research</w:t>
      </w:r>
      <w:r>
        <w:rPr>
          <w:lang w:val="en-GB"/>
        </w:rPr>
        <w:t xml:space="preserve">. </w:t>
      </w:r>
      <w:r w:rsidR="007D31A6">
        <w:rPr>
          <w:lang w:val="en-GB"/>
        </w:rPr>
        <w:t>Finally, the HIERP-ERIC will enhance the research capacity by s</w:t>
      </w:r>
      <w:r w:rsidR="007D31A6" w:rsidRPr="00D87086">
        <w:rPr>
          <w:lang w:val="en-GB"/>
        </w:rPr>
        <w:t>upporting new or existing research networks.</w:t>
      </w:r>
      <w:r w:rsidR="007D31A6" w:rsidRPr="007D31A6">
        <w:rPr>
          <w:lang w:val="en-GB"/>
        </w:rPr>
        <w:t xml:space="preserve"> </w:t>
      </w:r>
      <w:r w:rsidR="007D31A6" w:rsidRPr="00D87086">
        <w:rPr>
          <w:lang w:val="en-GB"/>
        </w:rPr>
        <w:t>This involves training and capacity building for research, support actions and coordination of activities and networks</w:t>
      </w:r>
      <w:r>
        <w:rPr>
          <w:lang w:val="en-GB"/>
        </w:rPr>
        <w:t>.</w:t>
      </w:r>
    </w:p>
    <w:p w14:paraId="6D353DC4" w14:textId="77777777" w:rsidR="00C16565" w:rsidRPr="00D87086" w:rsidRDefault="00C16565" w:rsidP="00DF1F50">
      <w:pPr>
        <w:rPr>
          <w:lang w:val="en-GB"/>
        </w:rPr>
      </w:pPr>
    </w:p>
    <w:p w14:paraId="2E8F748D" w14:textId="14A701F6" w:rsidR="00D61B9B" w:rsidRPr="00D87086" w:rsidRDefault="00D61B9B" w:rsidP="00D61B9B">
      <w:pPr>
        <w:pStyle w:val="Heading2"/>
        <w:rPr>
          <w:lang w:val="en-GB"/>
        </w:rPr>
      </w:pPr>
      <w:bookmarkStart w:id="34" w:name="_Toc469063816"/>
      <w:r w:rsidRPr="00D87086">
        <w:rPr>
          <w:lang w:val="en-GB"/>
        </w:rPr>
        <w:t>Access</w:t>
      </w:r>
      <w:bookmarkEnd w:id="34"/>
    </w:p>
    <w:p w14:paraId="1AC439A0" w14:textId="4695E93F" w:rsidR="00F12583" w:rsidRDefault="000832D6" w:rsidP="000832D6">
      <w:pPr>
        <w:rPr>
          <w:lang w:val="en-GB"/>
        </w:rPr>
      </w:pPr>
      <w:r w:rsidRPr="00D87086">
        <w:rPr>
          <w:lang w:val="en-GB"/>
        </w:rPr>
        <w:t xml:space="preserve">The HIREP-ERIC </w:t>
      </w:r>
      <w:r w:rsidR="00663A20" w:rsidRPr="00D87086">
        <w:rPr>
          <w:lang w:val="en-GB"/>
        </w:rPr>
        <w:t xml:space="preserve">will provide open and effective access </w:t>
      </w:r>
      <w:r w:rsidR="00B2512B">
        <w:rPr>
          <w:lang w:val="en-GB"/>
        </w:rPr>
        <w:t xml:space="preserve">to its knowledge management centre. This is composed of virtual and interoperable repository platforms. </w:t>
      </w:r>
      <w:r w:rsidR="006949A8">
        <w:rPr>
          <w:lang w:val="en-GB"/>
        </w:rPr>
        <w:t xml:space="preserve">This includes access to a range of data, meta-data, tools, methods, guidelines, protocols and reports. Access will be allowed to </w:t>
      </w:r>
      <w:r w:rsidR="00427A7C">
        <w:rPr>
          <w:lang w:val="en-GB"/>
        </w:rPr>
        <w:t>a wide range of stakeholders such as academics, professional users, policy makers and the public. The HIREP-ERI</w:t>
      </w:r>
      <w:r w:rsidR="00F12583">
        <w:rPr>
          <w:lang w:val="en-GB"/>
        </w:rPr>
        <w:t>C</w:t>
      </w:r>
      <w:r w:rsidR="00427A7C">
        <w:rPr>
          <w:lang w:val="en-GB"/>
        </w:rPr>
        <w:t xml:space="preserve"> website is the portal through which researchers access both documentation and data. Each of the Domain Specific Nodes will coordinate their own data sets</w:t>
      </w:r>
      <w:r w:rsidR="00F12583">
        <w:rPr>
          <w:lang w:val="en-GB"/>
        </w:rPr>
        <w:t xml:space="preserve"> with minimum requirements defined by the Assembly of Members. Also here open and effective access will be ensured. The HIREP-ERIC will through its digital services also enable collaboration among users across scientific domains and geographical boundaries.</w:t>
      </w:r>
      <w:r w:rsidR="00E72792">
        <w:rPr>
          <w:lang w:val="en-GB"/>
        </w:rPr>
        <w:t xml:space="preserve"> By promoting open science and open innovation, the HIREP-ERIC will be able to assemble a critical mass of people knowledge and investments and contribute to regional, national, European and global development.</w:t>
      </w:r>
    </w:p>
    <w:p w14:paraId="02F59140" w14:textId="77777777" w:rsidR="00D61B9B" w:rsidRPr="00D87086" w:rsidRDefault="00D61B9B" w:rsidP="00D61B9B">
      <w:pPr>
        <w:pStyle w:val="Heading2"/>
        <w:rPr>
          <w:lang w:val="en-GB"/>
        </w:rPr>
      </w:pPr>
      <w:bookmarkStart w:id="35" w:name="_Toc469063817"/>
      <w:r w:rsidRPr="004C7100">
        <w:rPr>
          <w:lang w:val="en-GB"/>
        </w:rPr>
        <w:t>Mobility</w:t>
      </w:r>
      <w:bookmarkEnd w:id="35"/>
    </w:p>
    <w:p w14:paraId="21D1F3AF" w14:textId="469219B0" w:rsidR="00E906AE" w:rsidRPr="00D87086" w:rsidRDefault="00B60F57" w:rsidP="00E906AE">
      <w:pPr>
        <w:rPr>
          <w:lang w:val="en-GB"/>
        </w:rPr>
      </w:pPr>
      <w:r w:rsidRPr="00D87086">
        <w:rPr>
          <w:lang w:val="en-GB"/>
        </w:rPr>
        <w:t xml:space="preserve">The </w:t>
      </w:r>
      <w:r w:rsidR="00917CBC">
        <w:rPr>
          <w:lang w:val="en-GB"/>
        </w:rPr>
        <w:t>information</w:t>
      </w:r>
      <w:r w:rsidRPr="004C7100">
        <w:rPr>
          <w:lang w:val="en-GB"/>
        </w:rPr>
        <w:t xml:space="preserve"> </w:t>
      </w:r>
      <w:r w:rsidRPr="00D87086">
        <w:rPr>
          <w:lang w:val="en-GB"/>
        </w:rPr>
        <w:t xml:space="preserve">infrastructure allows virtual </w:t>
      </w:r>
      <w:r w:rsidR="00C67151">
        <w:rPr>
          <w:lang w:val="en-GB"/>
        </w:rPr>
        <w:t>exchange</w:t>
      </w:r>
      <w:r w:rsidR="007612B6">
        <w:rPr>
          <w:lang w:val="en-GB"/>
        </w:rPr>
        <w:t xml:space="preserve"> </w:t>
      </w:r>
      <w:r w:rsidRPr="00D87086">
        <w:rPr>
          <w:lang w:val="en-GB"/>
        </w:rPr>
        <w:t>of knowledge within its environment. Researchers can access from behind their desk data</w:t>
      </w:r>
      <w:r w:rsidR="001A33C1">
        <w:rPr>
          <w:lang w:val="en-GB"/>
        </w:rPr>
        <w:t>, metadata, tools</w:t>
      </w:r>
      <w:r w:rsidRPr="00D87086">
        <w:rPr>
          <w:lang w:val="en-GB"/>
        </w:rPr>
        <w:t xml:space="preserve"> and services</w:t>
      </w:r>
      <w:r w:rsidRPr="004C7100">
        <w:rPr>
          <w:lang w:val="en-GB"/>
        </w:rPr>
        <w:t xml:space="preserve"> </w:t>
      </w:r>
      <w:r w:rsidR="001A33C1">
        <w:rPr>
          <w:lang w:val="en-GB"/>
        </w:rPr>
        <w:t>while</w:t>
      </w:r>
      <w:r w:rsidRPr="00D87086">
        <w:rPr>
          <w:lang w:val="en-GB"/>
        </w:rPr>
        <w:t xml:space="preserve"> residing in different parts in Europe.</w:t>
      </w:r>
      <w:r w:rsidR="00E72792">
        <w:rPr>
          <w:lang w:val="en-GB"/>
        </w:rPr>
        <w:t xml:space="preserve"> The HIREP-ERIC overcomes in such a way not only geographical boundaries but also scientific domains. Health information in population health and health system performance will be brought together.</w:t>
      </w:r>
      <w:r w:rsidRPr="00D87086">
        <w:rPr>
          <w:lang w:val="en-GB"/>
        </w:rPr>
        <w:t xml:space="preserve"> Networks between researchers are facilitated where exchange of knowledge will be made possible. Also physical mobility </w:t>
      </w:r>
      <w:r w:rsidR="001A33C1">
        <w:rPr>
          <w:lang w:val="en-GB"/>
        </w:rPr>
        <w:t>of experts will be</w:t>
      </w:r>
      <w:r w:rsidRPr="00D87086">
        <w:rPr>
          <w:lang w:val="en-GB"/>
        </w:rPr>
        <w:t xml:space="preserve"> supported as the HIREP-ERIC will carry out capacity building activities in the </w:t>
      </w:r>
      <w:r w:rsidR="00F54C20">
        <w:rPr>
          <w:lang w:val="en-GB"/>
        </w:rPr>
        <w:t>EU countries</w:t>
      </w:r>
      <w:r w:rsidRPr="00D87086">
        <w:rPr>
          <w:lang w:val="en-GB"/>
        </w:rPr>
        <w:t xml:space="preserve"> in areas needed with training programmes.</w:t>
      </w:r>
      <w:r w:rsidR="00F12583">
        <w:rPr>
          <w:lang w:val="en-GB"/>
        </w:rPr>
        <w:t xml:space="preserve"> More specifically a yearlong training program will be developed in which </w:t>
      </w:r>
      <w:r w:rsidR="00E72792">
        <w:rPr>
          <w:lang w:val="en-GB"/>
        </w:rPr>
        <w:t>scientists will be able to gain experience in another country. This will increase the creativity in and efficiency of research and bridge the gap between highly developed and lesser developed regions and countries.</w:t>
      </w:r>
    </w:p>
    <w:p w14:paraId="0E7E333B" w14:textId="77777777" w:rsidR="00D61B9B" w:rsidRPr="00D87086" w:rsidRDefault="00D61B9B" w:rsidP="00D61B9B">
      <w:pPr>
        <w:pStyle w:val="Heading2"/>
        <w:rPr>
          <w:lang w:val="en-GB"/>
        </w:rPr>
      </w:pPr>
      <w:bookmarkStart w:id="36" w:name="_Toc469063818"/>
      <w:r w:rsidRPr="00D87086">
        <w:rPr>
          <w:lang w:val="en-GB"/>
        </w:rPr>
        <w:t>Dissemination</w:t>
      </w:r>
      <w:bookmarkEnd w:id="36"/>
    </w:p>
    <w:p w14:paraId="1A8020D3" w14:textId="47D800D9" w:rsidR="00017304" w:rsidRDefault="00DA380E" w:rsidP="00DA380E">
      <w:pPr>
        <w:rPr>
          <w:lang w:val="en-GB"/>
        </w:rPr>
      </w:pPr>
      <w:r w:rsidRPr="00D87086">
        <w:rPr>
          <w:lang w:val="en-GB"/>
        </w:rPr>
        <w:t xml:space="preserve">The HIREP-ERIC contributes to having more and better evidence and knowledge for health policy-making by harnessing a larger and more relevant health research capacity, but also focusses on distributing and sharing this evidence and knowledge. </w:t>
      </w:r>
      <w:r w:rsidR="00330B45">
        <w:rPr>
          <w:lang w:val="en-GB"/>
        </w:rPr>
        <w:t>This involves</w:t>
      </w:r>
      <w:r w:rsidRPr="00D87086">
        <w:rPr>
          <w:lang w:val="en-GB"/>
        </w:rPr>
        <w:t xml:space="preserve"> </w:t>
      </w:r>
      <w:r w:rsidR="00330B45" w:rsidRPr="00D87086">
        <w:rPr>
          <w:lang w:val="en-GB"/>
        </w:rPr>
        <w:t>dissemination of outcomes (reporting, scientific publications, websites, c</w:t>
      </w:r>
      <w:r w:rsidR="00330B45">
        <w:rPr>
          <w:lang w:val="en-GB"/>
        </w:rPr>
        <w:t>ongresses) and integration of the evidence in the decision-making process</w:t>
      </w:r>
      <w:r w:rsidR="00330B45" w:rsidRPr="00D87086">
        <w:rPr>
          <w:lang w:val="en-GB"/>
        </w:rPr>
        <w:t>.</w:t>
      </w:r>
      <w:r w:rsidR="00330B45">
        <w:rPr>
          <w:lang w:val="en-GB"/>
        </w:rPr>
        <w:t xml:space="preserve"> </w:t>
      </w:r>
      <w:r w:rsidRPr="00D87086">
        <w:rPr>
          <w:lang w:val="en-GB"/>
        </w:rPr>
        <w:t xml:space="preserve">Better informing health professionals and citizens about possible improvements in health and healthcare and in living and working conditions and personal health behaviour is a key objective. Between researchers the HIREP-ERIC provides a facility </w:t>
      </w:r>
      <w:r w:rsidR="004B5A67" w:rsidRPr="00D87086">
        <w:rPr>
          <w:lang w:val="en-GB"/>
        </w:rPr>
        <w:t>to share and disseminate data, tools and methods on a European scale</w:t>
      </w:r>
      <w:r w:rsidR="00917CBC">
        <w:rPr>
          <w:lang w:val="en-GB"/>
        </w:rPr>
        <w:t xml:space="preserve"> and support the production of expert based</w:t>
      </w:r>
      <w:r w:rsidR="001A33C1">
        <w:rPr>
          <w:lang w:val="en-GB"/>
        </w:rPr>
        <w:t xml:space="preserve"> policy relevant health</w:t>
      </w:r>
      <w:r w:rsidR="00917CBC">
        <w:rPr>
          <w:lang w:val="en-GB"/>
        </w:rPr>
        <w:t xml:space="preserve"> reports</w:t>
      </w:r>
      <w:r w:rsidR="004B5A67" w:rsidRPr="00D87086">
        <w:rPr>
          <w:lang w:val="en-GB"/>
        </w:rPr>
        <w:t xml:space="preserve">. </w:t>
      </w:r>
    </w:p>
    <w:p w14:paraId="4077EF95" w14:textId="77777777" w:rsidR="002E21C3" w:rsidRDefault="002E21C3" w:rsidP="002E21C3">
      <w:pPr>
        <w:pStyle w:val="Heading2"/>
        <w:rPr>
          <w:lang w:val="en-GB"/>
        </w:rPr>
      </w:pPr>
      <w:bookmarkStart w:id="37" w:name="_Toc469063819"/>
      <w:r>
        <w:rPr>
          <w:lang w:val="en-GB"/>
        </w:rPr>
        <w:lastRenderedPageBreak/>
        <w:t>Conclusion added value</w:t>
      </w:r>
      <w:bookmarkEnd w:id="37"/>
    </w:p>
    <w:p w14:paraId="542EF20E" w14:textId="77777777" w:rsidR="002E21C3" w:rsidRPr="00D87086" w:rsidRDefault="00BD01FA" w:rsidP="002E21C3">
      <w:pPr>
        <w:rPr>
          <w:lang w:val="en-GB"/>
        </w:rPr>
      </w:pPr>
      <w:r>
        <w:rPr>
          <w:lang w:val="en-GB"/>
        </w:rPr>
        <w:t xml:space="preserve">Taken this together, the HIREP-ERIC </w:t>
      </w:r>
      <w:r w:rsidR="002E21C3" w:rsidRPr="00D87086">
        <w:rPr>
          <w:lang w:val="en-GB"/>
        </w:rPr>
        <w:t>provide</w:t>
      </w:r>
      <w:r>
        <w:rPr>
          <w:lang w:val="en-GB"/>
        </w:rPr>
        <w:t>s</w:t>
      </w:r>
      <w:r w:rsidR="002E21C3" w:rsidRPr="00D87086">
        <w:rPr>
          <w:lang w:val="en-GB"/>
        </w:rPr>
        <w:t xml:space="preserve"> a backbone and sustainable infrastructure to support the research fields of population health monitoring and health system performance assessment, by:</w:t>
      </w:r>
    </w:p>
    <w:p w14:paraId="37B89C10" w14:textId="79A05B9C" w:rsidR="00570445" w:rsidRPr="00D87086" w:rsidRDefault="00570445" w:rsidP="00570445">
      <w:pPr>
        <w:numPr>
          <w:ilvl w:val="0"/>
          <w:numId w:val="1"/>
        </w:numPr>
        <w:spacing w:after="0" w:line="288" w:lineRule="auto"/>
        <w:rPr>
          <w:lang w:val="en-GB"/>
        </w:rPr>
      </w:pPr>
      <w:r>
        <w:rPr>
          <w:iCs/>
          <w:lang w:val="en-GB"/>
        </w:rPr>
        <w:t xml:space="preserve">Facilitating access to </w:t>
      </w:r>
      <w:r w:rsidRPr="00BD01FA">
        <w:rPr>
          <w:iCs/>
          <w:lang w:val="en-GB"/>
        </w:rPr>
        <w:t>better and comparable data, tools and methods</w:t>
      </w:r>
    </w:p>
    <w:p w14:paraId="2808F581" w14:textId="1F57278A" w:rsidR="002E21C3" w:rsidRPr="00D87086" w:rsidRDefault="002E21C3" w:rsidP="00890E38">
      <w:pPr>
        <w:numPr>
          <w:ilvl w:val="0"/>
          <w:numId w:val="1"/>
        </w:numPr>
        <w:spacing w:after="0" w:line="288" w:lineRule="auto"/>
        <w:rPr>
          <w:lang w:val="en-GB"/>
        </w:rPr>
      </w:pPr>
      <w:r w:rsidRPr="00D87086">
        <w:rPr>
          <w:iCs/>
          <w:lang w:val="en-GB"/>
        </w:rPr>
        <w:t>Advancing scientific knowledge</w:t>
      </w:r>
      <w:r w:rsidR="00BD01FA" w:rsidRPr="00BD01FA">
        <w:rPr>
          <w:lang w:val="en-GB"/>
        </w:rPr>
        <w:t xml:space="preserve"> </w:t>
      </w:r>
      <w:r w:rsidR="00BD01FA">
        <w:rPr>
          <w:lang w:val="en-GB"/>
        </w:rPr>
        <w:t>in the ERA</w:t>
      </w:r>
      <w:r w:rsidR="007353B0">
        <w:rPr>
          <w:lang w:val="en-GB"/>
        </w:rPr>
        <w:t xml:space="preserve"> in health and beyond</w:t>
      </w:r>
    </w:p>
    <w:p w14:paraId="7ABF1759" w14:textId="77777777" w:rsidR="002E21C3" w:rsidRPr="00D87086" w:rsidRDefault="002E21C3" w:rsidP="00890E38">
      <w:pPr>
        <w:numPr>
          <w:ilvl w:val="0"/>
          <w:numId w:val="1"/>
        </w:numPr>
        <w:spacing w:after="0" w:line="288" w:lineRule="auto"/>
        <w:rPr>
          <w:lang w:val="en-GB"/>
        </w:rPr>
      </w:pPr>
      <w:r w:rsidRPr="00D87086">
        <w:rPr>
          <w:iCs/>
          <w:lang w:val="en-GB"/>
        </w:rPr>
        <w:t>Building capacity and targeting</w:t>
      </w:r>
      <w:r w:rsidRPr="00D87086">
        <w:rPr>
          <w:lang w:val="en-GB"/>
        </w:rPr>
        <w:t xml:space="preserve"> </w:t>
      </w:r>
      <w:r w:rsidRPr="00D87086">
        <w:rPr>
          <w:iCs/>
          <w:lang w:val="en-GB"/>
        </w:rPr>
        <w:t xml:space="preserve">research </w:t>
      </w:r>
    </w:p>
    <w:p w14:paraId="0FEFA819" w14:textId="77777777" w:rsidR="002E21C3" w:rsidRPr="00BD01FA" w:rsidRDefault="002E21C3" w:rsidP="00890E38">
      <w:pPr>
        <w:numPr>
          <w:ilvl w:val="0"/>
          <w:numId w:val="1"/>
        </w:numPr>
        <w:spacing w:after="0" w:line="288" w:lineRule="auto"/>
        <w:rPr>
          <w:lang w:val="en-GB"/>
        </w:rPr>
      </w:pPr>
      <w:r w:rsidRPr="00D87086">
        <w:rPr>
          <w:iCs/>
          <w:lang w:val="en-GB"/>
        </w:rPr>
        <w:t>Informing decision-making, practice, and policy</w:t>
      </w:r>
    </w:p>
    <w:p w14:paraId="2AAAD817" w14:textId="77777777" w:rsidR="00BD01FA" w:rsidRPr="00D87086" w:rsidRDefault="00BD01FA" w:rsidP="00890E38">
      <w:pPr>
        <w:numPr>
          <w:ilvl w:val="0"/>
          <w:numId w:val="1"/>
        </w:numPr>
        <w:spacing w:line="288" w:lineRule="auto"/>
        <w:rPr>
          <w:lang w:val="en-GB"/>
        </w:rPr>
      </w:pPr>
      <w:r w:rsidRPr="00D87086">
        <w:rPr>
          <w:iCs/>
          <w:lang w:val="en-GB"/>
        </w:rPr>
        <w:t xml:space="preserve">Dissemination and transferring knowledge </w:t>
      </w:r>
    </w:p>
    <w:p w14:paraId="7730AB9D" w14:textId="77777777" w:rsidR="002E21C3" w:rsidRPr="00D87086" w:rsidRDefault="002E21C3" w:rsidP="002E21C3">
      <w:pPr>
        <w:rPr>
          <w:lang w:val="en-GB"/>
        </w:rPr>
      </w:pPr>
      <w:r>
        <w:rPr>
          <w:lang w:val="en-GB"/>
        </w:rPr>
        <w:t>T</w:t>
      </w:r>
      <w:r w:rsidRPr="00D87086">
        <w:rPr>
          <w:lang w:val="en-GB"/>
        </w:rPr>
        <w:t>he HIREP-ERIC would contribute to having more and better evidence and knowledge for health policy-making by harnessing a larger and more relevant health research capacity</w:t>
      </w:r>
      <w:r>
        <w:rPr>
          <w:lang w:val="en-GB"/>
        </w:rPr>
        <w:t>, by enhancing research into methods for transferability of evidence to policy actions</w:t>
      </w:r>
      <w:r w:rsidRPr="00D87086">
        <w:rPr>
          <w:lang w:val="en-GB"/>
        </w:rPr>
        <w:t>. The ERIC thus contributes to new or improved institutional and national policies, new or better regulations, more and better research and research methodologies, and more efficient resource allocation and intervention programmes. The HIREP-ERIC also contributes to better informing health professionals and citizens about possible improvements in health and healthcare and in living and working conditions and personal health behaviour.</w:t>
      </w:r>
    </w:p>
    <w:p w14:paraId="2134AE42" w14:textId="77777777" w:rsidR="002E21C3" w:rsidRPr="00D87086" w:rsidRDefault="002E21C3" w:rsidP="002E21C3">
      <w:pPr>
        <w:rPr>
          <w:lang w:val="en-GB"/>
        </w:rPr>
      </w:pPr>
      <w:r w:rsidRPr="00D87086">
        <w:rPr>
          <w:lang w:val="en-GB"/>
        </w:rPr>
        <w:t xml:space="preserve">In this way, the HIREP-ERIC contributes to improvements in health and well-being and economic and social prosperity in Europe by enhancing the output, capacity, quality, dissemination and efficacy and efficiency of European health information-related research. </w:t>
      </w:r>
    </w:p>
    <w:p w14:paraId="7D0DD624" w14:textId="77777777" w:rsidR="002E21C3" w:rsidRPr="00D87086" w:rsidRDefault="002E21C3" w:rsidP="002E21C3">
      <w:pPr>
        <w:rPr>
          <w:lang w:val="en-GB"/>
        </w:rPr>
      </w:pPr>
      <w:r w:rsidRPr="00D87086">
        <w:rPr>
          <w:lang w:val="en-GB"/>
        </w:rPr>
        <w:t>The benefits for stakeholders are summarised in Table 1, including researchers, decision-makers, healthcare providers, citizens, administrators or data providers, and financers.</w:t>
      </w:r>
    </w:p>
    <w:p w14:paraId="16DD1DD0" w14:textId="77777777" w:rsidR="002E21C3" w:rsidRPr="007B7444" w:rsidRDefault="002E21C3" w:rsidP="002E21C3">
      <w:pPr>
        <w:spacing w:after="0"/>
        <w:rPr>
          <w:lang w:val="en-GB"/>
        </w:rPr>
      </w:pPr>
      <w:proofErr w:type="gramStart"/>
      <w:r w:rsidRPr="007B7444">
        <w:rPr>
          <w:lang w:val="en-GB"/>
        </w:rPr>
        <w:t>Table 1.</w:t>
      </w:r>
      <w:proofErr w:type="gramEnd"/>
      <w:r w:rsidRPr="007B7444">
        <w:rPr>
          <w:lang w:val="en-GB"/>
        </w:rPr>
        <w:t xml:space="preserve"> Benefits for stakeholders in Member States</w:t>
      </w:r>
    </w:p>
    <w:tbl>
      <w:tblPr>
        <w:tblStyle w:val="LightShading"/>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626"/>
        <w:gridCol w:w="4374"/>
      </w:tblGrid>
      <w:tr w:rsidR="002E21C3" w:rsidRPr="00D87086" w14:paraId="6C3120FC" w14:textId="77777777" w:rsidTr="002E21C3">
        <w:trPr>
          <w:cnfStyle w:val="100000000000" w:firstRow="1" w:lastRow="0" w:firstColumn="0" w:lastColumn="0" w:oddVBand="0" w:evenVBand="0" w:oddHBand="0" w:evenHBand="0" w:firstRowFirstColumn="0" w:firstRowLastColumn="0" w:lastRowFirstColumn="0" w:lastRowLastColumn="0"/>
          <w:trHeight w:val="259"/>
        </w:trPr>
        <w:tc>
          <w:tcPr>
            <w:tcW w:w="4626" w:type="dxa"/>
            <w:tcBorders>
              <w:top w:val="none" w:sz="0" w:space="0" w:color="auto"/>
              <w:left w:val="none" w:sz="0" w:space="0" w:color="auto"/>
              <w:bottom w:val="none" w:sz="0" w:space="0" w:color="auto"/>
              <w:right w:val="none" w:sz="0" w:space="0" w:color="auto"/>
            </w:tcBorders>
          </w:tcPr>
          <w:p w14:paraId="3BCD7C6B" w14:textId="77777777" w:rsidR="002E21C3" w:rsidRPr="007B7444" w:rsidRDefault="00D32C64" w:rsidP="002E21C3">
            <w:pPr>
              <w:spacing w:before="40" w:after="40" w:line="276" w:lineRule="auto"/>
              <w:rPr>
                <w:color w:val="auto"/>
                <w:lang w:val="en-GB"/>
              </w:rPr>
            </w:pPr>
            <w:r>
              <w:rPr>
                <w:lang w:val="en-GB"/>
              </w:rPr>
              <w:t>Policy</w:t>
            </w:r>
            <w:r w:rsidR="002E21C3" w:rsidRPr="007B7444">
              <w:rPr>
                <w:lang w:val="en-GB"/>
              </w:rPr>
              <w:t>-makers</w:t>
            </w:r>
          </w:p>
        </w:tc>
        <w:tc>
          <w:tcPr>
            <w:tcW w:w="4374" w:type="dxa"/>
            <w:tcBorders>
              <w:top w:val="none" w:sz="0" w:space="0" w:color="auto"/>
              <w:left w:val="none" w:sz="0" w:space="0" w:color="auto"/>
              <w:bottom w:val="none" w:sz="0" w:space="0" w:color="auto"/>
              <w:right w:val="none" w:sz="0" w:space="0" w:color="auto"/>
            </w:tcBorders>
            <w:hideMark/>
          </w:tcPr>
          <w:p w14:paraId="552AF621" w14:textId="77777777" w:rsidR="002E21C3" w:rsidRPr="007B7444" w:rsidRDefault="002E21C3" w:rsidP="002E21C3">
            <w:pPr>
              <w:spacing w:before="40" w:after="40" w:line="276" w:lineRule="auto"/>
              <w:rPr>
                <w:color w:val="auto"/>
                <w:lang w:val="en-GB"/>
              </w:rPr>
            </w:pPr>
            <w:r w:rsidRPr="007B7444">
              <w:rPr>
                <w:lang w:val="en-GB"/>
              </w:rPr>
              <w:t xml:space="preserve"> Researchers </w:t>
            </w:r>
          </w:p>
        </w:tc>
      </w:tr>
      <w:tr w:rsidR="002E21C3" w:rsidRPr="00D87086" w14:paraId="2F1B0032" w14:textId="77777777" w:rsidTr="002E21C3">
        <w:trPr>
          <w:trHeight w:val="259"/>
        </w:trPr>
        <w:tc>
          <w:tcPr>
            <w:tcW w:w="4626" w:type="dxa"/>
          </w:tcPr>
          <w:p w14:paraId="33CB4AF3" w14:textId="0EAB2651" w:rsidR="002E21C3" w:rsidRPr="007B7444" w:rsidRDefault="002E21C3" w:rsidP="00890E38">
            <w:pPr>
              <w:numPr>
                <w:ilvl w:val="0"/>
                <w:numId w:val="13"/>
              </w:numPr>
              <w:spacing w:line="276" w:lineRule="auto"/>
              <w:rPr>
                <w:color w:val="auto"/>
                <w:lang w:val="en-GB"/>
              </w:rPr>
            </w:pPr>
            <w:r>
              <w:rPr>
                <w:lang w:val="en-GB"/>
              </w:rPr>
              <w:t>High q</w:t>
            </w:r>
            <w:r w:rsidRPr="007B7444">
              <w:rPr>
                <w:lang w:val="en-GB"/>
              </w:rPr>
              <w:t>uality</w:t>
            </w:r>
            <w:r>
              <w:rPr>
                <w:color w:val="auto"/>
              </w:rPr>
              <w:t xml:space="preserve"> data and</w:t>
            </w:r>
            <w:r w:rsidRPr="007B7444">
              <w:rPr>
                <w:lang w:val="en-GB"/>
              </w:rPr>
              <w:t xml:space="preserve"> information for evidence-based decisions</w:t>
            </w:r>
            <w:r w:rsidR="00A85D4B">
              <w:rPr>
                <w:lang w:val="en-GB"/>
              </w:rPr>
              <w:t>, p</w:t>
            </w:r>
            <w:r w:rsidR="00A85D4B" w:rsidRPr="007B7444">
              <w:rPr>
                <w:lang w:val="en-GB"/>
              </w:rPr>
              <w:t>riority setting</w:t>
            </w:r>
            <w:r w:rsidR="00A85D4B">
              <w:rPr>
                <w:lang w:val="en-GB"/>
              </w:rPr>
              <w:t>, p</w:t>
            </w:r>
            <w:r w:rsidR="00A85D4B" w:rsidRPr="007B7444">
              <w:rPr>
                <w:lang w:val="en-GB"/>
              </w:rPr>
              <w:t>rogramme evaluation</w:t>
            </w:r>
          </w:p>
          <w:p w14:paraId="1907193B" w14:textId="77777777" w:rsidR="002E21C3" w:rsidRPr="007B7444" w:rsidRDefault="002E21C3" w:rsidP="00890E38">
            <w:pPr>
              <w:numPr>
                <w:ilvl w:val="0"/>
                <w:numId w:val="13"/>
              </w:numPr>
              <w:spacing w:line="276" w:lineRule="auto"/>
              <w:rPr>
                <w:color w:val="auto"/>
                <w:lang w:val="en-GB"/>
              </w:rPr>
            </w:pPr>
            <w:r w:rsidRPr="007B7444">
              <w:rPr>
                <w:lang w:val="en-GB"/>
              </w:rPr>
              <w:t>Better preparedness</w:t>
            </w:r>
          </w:p>
          <w:p w14:paraId="405FB4D1" w14:textId="56873B3D" w:rsidR="002E21C3" w:rsidRPr="007B7444" w:rsidRDefault="002E21C3" w:rsidP="00890E38">
            <w:pPr>
              <w:numPr>
                <w:ilvl w:val="0"/>
                <w:numId w:val="13"/>
              </w:numPr>
              <w:spacing w:line="276" w:lineRule="auto"/>
              <w:rPr>
                <w:color w:val="auto"/>
                <w:lang w:val="en-GB"/>
              </w:rPr>
            </w:pPr>
            <w:r w:rsidRPr="007B7444">
              <w:rPr>
                <w:lang w:val="en-GB"/>
              </w:rPr>
              <w:t>International comparison: evaluate and discuss how to tackle similar challenges</w:t>
            </w:r>
            <w:r w:rsidR="00A85D4B">
              <w:rPr>
                <w:lang w:val="en-GB"/>
              </w:rPr>
              <w:t>, understand and resolve differences</w:t>
            </w:r>
          </w:p>
          <w:p w14:paraId="1E2FCBBA" w14:textId="77777777" w:rsidR="002E21C3" w:rsidRPr="007B7444" w:rsidRDefault="002E21C3" w:rsidP="00890E38">
            <w:pPr>
              <w:numPr>
                <w:ilvl w:val="0"/>
                <w:numId w:val="13"/>
              </w:numPr>
              <w:spacing w:line="276" w:lineRule="auto"/>
              <w:rPr>
                <w:color w:val="auto"/>
                <w:lang w:val="en-GB"/>
              </w:rPr>
            </w:pPr>
            <w:r w:rsidRPr="007B7444">
              <w:rPr>
                <w:lang w:val="en-GB"/>
              </w:rPr>
              <w:t>Organise and coordinate public health expertise and systems</w:t>
            </w:r>
          </w:p>
          <w:p w14:paraId="2AA752DF" w14:textId="77777777" w:rsidR="002E21C3" w:rsidRPr="007B7444" w:rsidRDefault="002E21C3" w:rsidP="00890E38">
            <w:pPr>
              <w:numPr>
                <w:ilvl w:val="0"/>
                <w:numId w:val="13"/>
              </w:numPr>
              <w:spacing w:line="276" w:lineRule="auto"/>
              <w:rPr>
                <w:color w:val="auto"/>
                <w:lang w:val="en-GB"/>
              </w:rPr>
            </w:pPr>
            <w:r w:rsidRPr="007B7444">
              <w:rPr>
                <w:lang w:val="en-GB"/>
              </w:rPr>
              <w:t>Better access to existing knowledge and expertise</w:t>
            </w:r>
          </w:p>
        </w:tc>
        <w:tc>
          <w:tcPr>
            <w:tcW w:w="4374" w:type="dxa"/>
            <w:hideMark/>
          </w:tcPr>
          <w:p w14:paraId="7023069B" w14:textId="77777777" w:rsidR="002E21C3" w:rsidRPr="007B7444" w:rsidRDefault="002E21C3" w:rsidP="00890E38">
            <w:pPr>
              <w:numPr>
                <w:ilvl w:val="0"/>
                <w:numId w:val="13"/>
              </w:numPr>
              <w:spacing w:line="276" w:lineRule="auto"/>
              <w:rPr>
                <w:color w:val="auto"/>
                <w:lang w:val="en-GB"/>
              </w:rPr>
            </w:pPr>
            <w:r w:rsidRPr="007B7444">
              <w:rPr>
                <w:lang w:val="en-GB"/>
              </w:rPr>
              <w:t xml:space="preserve">EU-comparative data </w:t>
            </w:r>
          </w:p>
          <w:p w14:paraId="0AC16119" w14:textId="77777777" w:rsidR="002E21C3" w:rsidRPr="007B7444" w:rsidRDefault="002E21C3" w:rsidP="00890E38">
            <w:pPr>
              <w:numPr>
                <w:ilvl w:val="0"/>
                <w:numId w:val="13"/>
              </w:numPr>
              <w:spacing w:line="276" w:lineRule="auto"/>
              <w:rPr>
                <w:color w:val="auto"/>
                <w:lang w:val="en-GB"/>
              </w:rPr>
            </w:pPr>
            <w:r>
              <w:rPr>
                <w:bCs/>
                <w:color w:val="auto"/>
              </w:rPr>
              <w:t>Better d</w:t>
            </w:r>
            <w:r w:rsidRPr="00B84307">
              <w:rPr>
                <w:bCs/>
                <w:color w:val="auto"/>
              </w:rPr>
              <w:t>ata</w:t>
            </w:r>
            <w:r w:rsidRPr="007B7444">
              <w:rPr>
                <w:lang w:val="en-GB"/>
              </w:rPr>
              <w:t xml:space="preserve"> quality</w:t>
            </w:r>
            <w:r>
              <w:rPr>
                <w:bCs/>
                <w:color w:val="auto"/>
              </w:rPr>
              <w:t>, availability</w:t>
            </w:r>
            <w:r w:rsidRPr="007B7444">
              <w:rPr>
                <w:lang w:val="en-GB"/>
              </w:rPr>
              <w:t xml:space="preserve"> and comparability</w:t>
            </w:r>
          </w:p>
          <w:p w14:paraId="37B6A811" w14:textId="77777777" w:rsidR="002E21C3" w:rsidRPr="007B7444" w:rsidRDefault="002E21C3" w:rsidP="00890E38">
            <w:pPr>
              <w:numPr>
                <w:ilvl w:val="0"/>
                <w:numId w:val="13"/>
              </w:numPr>
              <w:spacing w:line="276" w:lineRule="auto"/>
              <w:rPr>
                <w:color w:val="auto"/>
                <w:lang w:val="en-GB"/>
              </w:rPr>
            </w:pPr>
            <w:r>
              <w:rPr>
                <w:bCs/>
                <w:color w:val="auto"/>
              </w:rPr>
              <w:t>Sustainable data</w:t>
            </w:r>
            <w:r w:rsidRPr="007B7444">
              <w:rPr>
                <w:lang w:val="en-GB"/>
              </w:rPr>
              <w:t xml:space="preserve"> availability</w:t>
            </w:r>
          </w:p>
          <w:p w14:paraId="755A5F8D" w14:textId="77777777" w:rsidR="002E21C3" w:rsidRPr="007B7444" w:rsidRDefault="002E21C3" w:rsidP="00890E38">
            <w:pPr>
              <w:numPr>
                <w:ilvl w:val="0"/>
                <w:numId w:val="13"/>
              </w:numPr>
              <w:spacing w:line="276" w:lineRule="auto"/>
              <w:rPr>
                <w:color w:val="auto"/>
                <w:lang w:val="en-GB"/>
              </w:rPr>
            </w:pPr>
            <w:r w:rsidRPr="007B7444">
              <w:rPr>
                <w:lang w:val="en-GB"/>
              </w:rPr>
              <w:t>Enhanced research capacity</w:t>
            </w:r>
          </w:p>
          <w:p w14:paraId="27109A16" w14:textId="77777777" w:rsidR="002E21C3" w:rsidRPr="007B7444" w:rsidRDefault="002E21C3" w:rsidP="00890E38">
            <w:pPr>
              <w:numPr>
                <w:ilvl w:val="0"/>
                <w:numId w:val="13"/>
              </w:numPr>
              <w:spacing w:line="276" w:lineRule="auto"/>
              <w:rPr>
                <w:color w:val="auto"/>
                <w:lang w:val="en-GB"/>
              </w:rPr>
            </w:pPr>
            <w:r w:rsidRPr="007B7444">
              <w:rPr>
                <w:lang w:val="en-GB"/>
              </w:rPr>
              <w:t>Larger study populations and cohorts</w:t>
            </w:r>
          </w:p>
          <w:p w14:paraId="42F40D31" w14:textId="77777777" w:rsidR="002E21C3" w:rsidRPr="007B7444" w:rsidRDefault="002E21C3" w:rsidP="00890E38">
            <w:pPr>
              <w:numPr>
                <w:ilvl w:val="0"/>
                <w:numId w:val="13"/>
              </w:numPr>
              <w:spacing w:line="276" w:lineRule="auto"/>
              <w:rPr>
                <w:color w:val="auto"/>
                <w:lang w:val="en-GB"/>
              </w:rPr>
            </w:pPr>
            <w:r w:rsidRPr="007B7444">
              <w:rPr>
                <w:lang w:val="en-GB"/>
              </w:rPr>
              <w:t>Enhanced data access flow</w:t>
            </w:r>
          </w:p>
          <w:p w14:paraId="27AAEA6B" w14:textId="77777777" w:rsidR="002E21C3" w:rsidRPr="007B7444" w:rsidRDefault="002E21C3" w:rsidP="00890E38">
            <w:pPr>
              <w:numPr>
                <w:ilvl w:val="0"/>
                <w:numId w:val="13"/>
              </w:numPr>
              <w:spacing w:line="276" w:lineRule="auto"/>
              <w:rPr>
                <w:color w:val="auto"/>
                <w:lang w:val="en-GB"/>
              </w:rPr>
            </w:pPr>
            <w:r w:rsidRPr="007B7444">
              <w:rPr>
                <w:lang w:val="en-GB"/>
              </w:rPr>
              <w:t>Structured scientific exchange</w:t>
            </w:r>
          </w:p>
          <w:p w14:paraId="62EFC7A3" w14:textId="77777777" w:rsidR="002E21C3" w:rsidRPr="007B7444" w:rsidRDefault="002E21C3" w:rsidP="00890E38">
            <w:pPr>
              <w:numPr>
                <w:ilvl w:val="0"/>
                <w:numId w:val="13"/>
              </w:numPr>
              <w:spacing w:line="276" w:lineRule="auto"/>
              <w:rPr>
                <w:color w:val="auto"/>
                <w:lang w:val="en-GB"/>
              </w:rPr>
            </w:pPr>
            <w:r w:rsidRPr="007B7444">
              <w:rPr>
                <w:lang w:val="en-GB"/>
              </w:rPr>
              <w:t>Quicker results</w:t>
            </w:r>
          </w:p>
          <w:p w14:paraId="23CA9DF8" w14:textId="77777777" w:rsidR="002E21C3" w:rsidRPr="007B7444" w:rsidRDefault="002E21C3" w:rsidP="00890E38">
            <w:pPr>
              <w:numPr>
                <w:ilvl w:val="0"/>
                <w:numId w:val="13"/>
              </w:numPr>
              <w:spacing w:line="276" w:lineRule="auto"/>
              <w:rPr>
                <w:color w:val="auto"/>
                <w:lang w:val="en-GB"/>
              </w:rPr>
            </w:pPr>
            <w:r w:rsidRPr="007B7444">
              <w:rPr>
                <w:lang w:val="en-GB"/>
              </w:rPr>
              <w:t>Better access to existing knowledge and expertise</w:t>
            </w:r>
          </w:p>
        </w:tc>
      </w:tr>
      <w:tr w:rsidR="002E21C3" w:rsidRPr="00D87086" w14:paraId="101EF1CD" w14:textId="77777777" w:rsidTr="002E21C3">
        <w:trPr>
          <w:trHeight w:val="259"/>
        </w:trPr>
        <w:tc>
          <w:tcPr>
            <w:tcW w:w="4626" w:type="dxa"/>
          </w:tcPr>
          <w:p w14:paraId="39E3547B" w14:textId="77777777" w:rsidR="002E21C3" w:rsidRPr="007B7444" w:rsidRDefault="002E21C3" w:rsidP="002E21C3">
            <w:pPr>
              <w:spacing w:before="40" w:line="276" w:lineRule="auto"/>
              <w:rPr>
                <w:b/>
                <w:color w:val="auto"/>
                <w:lang w:val="en-GB"/>
              </w:rPr>
            </w:pPr>
            <w:r w:rsidRPr="007B7444">
              <w:rPr>
                <w:b/>
                <w:lang w:val="en-GB"/>
              </w:rPr>
              <w:t>Healthcare providers</w:t>
            </w:r>
          </w:p>
        </w:tc>
        <w:tc>
          <w:tcPr>
            <w:tcW w:w="4374" w:type="dxa"/>
            <w:hideMark/>
          </w:tcPr>
          <w:p w14:paraId="612CD61D" w14:textId="77777777" w:rsidR="002E21C3" w:rsidRPr="007B7444" w:rsidRDefault="002E21C3" w:rsidP="002E21C3">
            <w:pPr>
              <w:spacing w:before="40" w:line="276" w:lineRule="auto"/>
              <w:rPr>
                <w:b/>
                <w:color w:val="auto"/>
                <w:lang w:val="en-GB"/>
              </w:rPr>
            </w:pPr>
            <w:r w:rsidRPr="007B7444">
              <w:rPr>
                <w:b/>
                <w:lang w:val="en-GB"/>
              </w:rPr>
              <w:t xml:space="preserve">Citizens </w:t>
            </w:r>
          </w:p>
        </w:tc>
      </w:tr>
      <w:tr w:rsidR="002E21C3" w:rsidRPr="00D87086" w14:paraId="5AD43AB0" w14:textId="77777777" w:rsidTr="002E21C3">
        <w:trPr>
          <w:trHeight w:val="58"/>
        </w:trPr>
        <w:tc>
          <w:tcPr>
            <w:tcW w:w="4626" w:type="dxa"/>
          </w:tcPr>
          <w:p w14:paraId="0E2F0218" w14:textId="77777777" w:rsidR="002E21C3" w:rsidRPr="007B7444" w:rsidRDefault="002E21C3" w:rsidP="00890E38">
            <w:pPr>
              <w:numPr>
                <w:ilvl w:val="0"/>
                <w:numId w:val="12"/>
              </w:numPr>
              <w:spacing w:line="276" w:lineRule="auto"/>
              <w:rPr>
                <w:color w:val="auto"/>
                <w:lang w:val="en-GB"/>
              </w:rPr>
            </w:pPr>
            <w:r w:rsidRPr="007B7444">
              <w:rPr>
                <w:lang w:val="en-GB"/>
              </w:rPr>
              <w:t xml:space="preserve">Data to set standards and protocols for evidence-based care and to evaluate their policies </w:t>
            </w:r>
          </w:p>
          <w:p w14:paraId="3C70042C" w14:textId="77777777" w:rsidR="002E21C3" w:rsidRPr="007B7444" w:rsidRDefault="002E21C3" w:rsidP="00890E38">
            <w:pPr>
              <w:numPr>
                <w:ilvl w:val="0"/>
                <w:numId w:val="12"/>
              </w:numPr>
              <w:spacing w:line="276" w:lineRule="auto"/>
              <w:rPr>
                <w:color w:val="auto"/>
                <w:lang w:val="en-GB"/>
              </w:rPr>
            </w:pPr>
            <w:r w:rsidRPr="007B7444">
              <w:rPr>
                <w:lang w:val="en-GB"/>
              </w:rPr>
              <w:lastRenderedPageBreak/>
              <w:t>Benchmarking i.e. learning from best practices</w:t>
            </w:r>
          </w:p>
          <w:p w14:paraId="305CE154" w14:textId="77777777" w:rsidR="002E21C3" w:rsidRPr="007B7444" w:rsidRDefault="002E21C3" w:rsidP="00890E38">
            <w:pPr>
              <w:numPr>
                <w:ilvl w:val="0"/>
                <w:numId w:val="12"/>
              </w:numPr>
              <w:spacing w:line="276" w:lineRule="auto"/>
              <w:rPr>
                <w:color w:val="auto"/>
                <w:lang w:val="en-GB"/>
              </w:rPr>
            </w:pPr>
            <w:r w:rsidRPr="007B7444">
              <w:rPr>
                <w:lang w:val="en-GB"/>
              </w:rPr>
              <w:t>Better access to existing knowledge and expertise</w:t>
            </w:r>
          </w:p>
        </w:tc>
        <w:tc>
          <w:tcPr>
            <w:tcW w:w="4374" w:type="dxa"/>
            <w:hideMark/>
          </w:tcPr>
          <w:p w14:paraId="763D2915" w14:textId="2E19EDEF" w:rsidR="002E21C3" w:rsidRPr="007B7444" w:rsidRDefault="002E21C3" w:rsidP="00890E38">
            <w:pPr>
              <w:numPr>
                <w:ilvl w:val="0"/>
                <w:numId w:val="12"/>
              </w:numPr>
              <w:spacing w:line="276" w:lineRule="auto"/>
              <w:rPr>
                <w:color w:val="auto"/>
                <w:lang w:val="en-GB"/>
              </w:rPr>
            </w:pPr>
            <w:r w:rsidRPr="007B7444">
              <w:rPr>
                <w:lang w:val="en-GB"/>
              </w:rPr>
              <w:lastRenderedPageBreak/>
              <w:t>Improved health and wellbeing</w:t>
            </w:r>
            <w:r w:rsidR="004B4895">
              <w:rPr>
                <w:lang w:val="en-GB"/>
              </w:rPr>
              <w:t xml:space="preserve"> and reduced health inequalities</w:t>
            </w:r>
            <w:r w:rsidRPr="007B7444">
              <w:rPr>
                <w:lang w:val="en-GB"/>
              </w:rPr>
              <w:t xml:space="preserve"> </w:t>
            </w:r>
            <w:r w:rsidR="004B4895">
              <w:rPr>
                <w:lang w:val="en-GB"/>
              </w:rPr>
              <w:t xml:space="preserve">if policy decisions are improved </w:t>
            </w:r>
            <w:r w:rsidRPr="007B7444">
              <w:rPr>
                <w:lang w:val="en-GB"/>
              </w:rPr>
              <w:t xml:space="preserve">by </w:t>
            </w:r>
            <w:r w:rsidRPr="007B7444">
              <w:rPr>
                <w:lang w:val="en-GB"/>
              </w:rPr>
              <w:lastRenderedPageBreak/>
              <w:t>enhanced monitoring of health risks, health status, health determinants, and the safety and quality of healthcare services</w:t>
            </w:r>
          </w:p>
          <w:p w14:paraId="6690C4A1" w14:textId="171FD148" w:rsidR="002E21C3" w:rsidRPr="007B7444" w:rsidRDefault="002E21C3" w:rsidP="00890E38">
            <w:pPr>
              <w:numPr>
                <w:ilvl w:val="0"/>
                <w:numId w:val="12"/>
              </w:numPr>
              <w:spacing w:line="276" w:lineRule="auto"/>
              <w:rPr>
                <w:color w:val="auto"/>
                <w:lang w:val="en-GB"/>
              </w:rPr>
            </w:pPr>
            <w:r w:rsidRPr="007B7444">
              <w:rPr>
                <w:lang w:val="en-GB"/>
              </w:rPr>
              <w:t xml:space="preserve">Better access to existing </w:t>
            </w:r>
            <w:r w:rsidR="004B4895">
              <w:rPr>
                <w:lang w:val="en-GB"/>
              </w:rPr>
              <w:t xml:space="preserve">information, </w:t>
            </w:r>
            <w:r w:rsidRPr="007B7444">
              <w:rPr>
                <w:lang w:val="en-GB"/>
              </w:rPr>
              <w:t>knowledge and expertise</w:t>
            </w:r>
          </w:p>
        </w:tc>
      </w:tr>
      <w:tr w:rsidR="002E21C3" w:rsidRPr="00D87086" w14:paraId="1FEF74B3" w14:textId="77777777" w:rsidTr="002E21C3">
        <w:trPr>
          <w:trHeight w:val="250"/>
        </w:trPr>
        <w:tc>
          <w:tcPr>
            <w:tcW w:w="4626" w:type="dxa"/>
            <w:hideMark/>
          </w:tcPr>
          <w:p w14:paraId="1ADC68DA" w14:textId="77777777" w:rsidR="002E21C3" w:rsidRPr="007B7444" w:rsidRDefault="002E21C3" w:rsidP="002E21C3">
            <w:pPr>
              <w:spacing w:before="40" w:line="276" w:lineRule="auto"/>
              <w:rPr>
                <w:color w:val="auto"/>
                <w:lang w:val="en-GB"/>
              </w:rPr>
            </w:pPr>
            <w:r w:rsidRPr="007B7444">
              <w:rPr>
                <w:b/>
                <w:lang w:val="en-GB"/>
              </w:rPr>
              <w:lastRenderedPageBreak/>
              <w:t>Administrators/data providers</w:t>
            </w:r>
          </w:p>
        </w:tc>
        <w:tc>
          <w:tcPr>
            <w:tcW w:w="4374" w:type="dxa"/>
            <w:hideMark/>
          </w:tcPr>
          <w:p w14:paraId="14AF30CA" w14:textId="77777777" w:rsidR="002E21C3" w:rsidRPr="007B7444" w:rsidRDefault="002E21C3" w:rsidP="002E21C3">
            <w:pPr>
              <w:spacing w:before="40" w:line="276" w:lineRule="auto"/>
              <w:rPr>
                <w:color w:val="auto"/>
                <w:lang w:val="en-GB"/>
              </w:rPr>
            </w:pPr>
            <w:r w:rsidRPr="007B7444">
              <w:rPr>
                <w:b/>
                <w:lang w:val="en-GB"/>
              </w:rPr>
              <w:t>Financers</w:t>
            </w:r>
          </w:p>
        </w:tc>
      </w:tr>
      <w:tr w:rsidR="002E21C3" w:rsidRPr="00D87086" w14:paraId="10819E23" w14:textId="77777777" w:rsidTr="002E21C3">
        <w:trPr>
          <w:trHeight w:val="268"/>
        </w:trPr>
        <w:tc>
          <w:tcPr>
            <w:tcW w:w="4626" w:type="dxa"/>
            <w:hideMark/>
          </w:tcPr>
          <w:p w14:paraId="405CBD29" w14:textId="77777777" w:rsidR="002E21C3" w:rsidRPr="007B7444" w:rsidRDefault="002E21C3" w:rsidP="00890E38">
            <w:pPr>
              <w:numPr>
                <w:ilvl w:val="0"/>
                <w:numId w:val="11"/>
              </w:numPr>
              <w:spacing w:line="276" w:lineRule="auto"/>
              <w:rPr>
                <w:color w:val="auto"/>
                <w:lang w:val="en-GB"/>
              </w:rPr>
            </w:pPr>
            <w:r w:rsidRPr="007B7444">
              <w:rPr>
                <w:lang w:val="en-GB"/>
              </w:rPr>
              <w:t>Reduce burden by increasing harmonisation of international data collection to reduce duplication</w:t>
            </w:r>
          </w:p>
          <w:p w14:paraId="40D1A855" w14:textId="77777777" w:rsidR="002E21C3" w:rsidRPr="005B252F" w:rsidRDefault="002E21C3" w:rsidP="00890E38">
            <w:pPr>
              <w:numPr>
                <w:ilvl w:val="0"/>
                <w:numId w:val="11"/>
              </w:numPr>
              <w:spacing w:after="200" w:line="276" w:lineRule="auto"/>
              <w:rPr>
                <w:color w:val="auto"/>
                <w:lang w:val="en-GB"/>
              </w:rPr>
            </w:pPr>
            <w:r w:rsidRPr="007B7444">
              <w:rPr>
                <w:lang w:val="en-GB"/>
              </w:rPr>
              <w:t>Assist in obligation to provide data to international sources</w:t>
            </w:r>
          </w:p>
          <w:p w14:paraId="4633A7EF" w14:textId="77777777" w:rsidR="005B252F" w:rsidRPr="007B7444" w:rsidRDefault="005B252F" w:rsidP="00890E38">
            <w:pPr>
              <w:numPr>
                <w:ilvl w:val="0"/>
                <w:numId w:val="11"/>
              </w:numPr>
              <w:spacing w:line="276" w:lineRule="auto"/>
              <w:rPr>
                <w:color w:val="auto"/>
                <w:lang w:val="en-GB"/>
              </w:rPr>
            </w:pPr>
            <w:r>
              <w:rPr>
                <w:lang w:val="en-GB"/>
              </w:rPr>
              <w:t>Standardisation and norms</w:t>
            </w:r>
          </w:p>
        </w:tc>
        <w:tc>
          <w:tcPr>
            <w:tcW w:w="4374" w:type="dxa"/>
            <w:hideMark/>
          </w:tcPr>
          <w:p w14:paraId="46BE5A9C" w14:textId="77777777" w:rsidR="002E21C3" w:rsidRPr="007B7444" w:rsidRDefault="002E21C3" w:rsidP="00890E38">
            <w:pPr>
              <w:numPr>
                <w:ilvl w:val="0"/>
                <w:numId w:val="11"/>
              </w:numPr>
              <w:spacing w:line="276" w:lineRule="auto"/>
              <w:rPr>
                <w:color w:val="auto"/>
                <w:lang w:val="en-GB"/>
              </w:rPr>
            </w:pPr>
            <w:r w:rsidRPr="007B7444">
              <w:rPr>
                <w:lang w:val="en-GB"/>
              </w:rPr>
              <w:t>Better value for money in international health information activities and health research</w:t>
            </w:r>
          </w:p>
          <w:p w14:paraId="0FA6E3E6" w14:textId="77777777" w:rsidR="002E21C3" w:rsidRPr="007B7444" w:rsidRDefault="002E21C3" w:rsidP="00890E38">
            <w:pPr>
              <w:numPr>
                <w:ilvl w:val="0"/>
                <w:numId w:val="11"/>
              </w:numPr>
              <w:spacing w:line="276" w:lineRule="auto"/>
              <w:rPr>
                <w:color w:val="auto"/>
                <w:lang w:val="en-GB"/>
              </w:rPr>
            </w:pPr>
            <w:r w:rsidRPr="007B7444">
              <w:rPr>
                <w:lang w:val="en-GB"/>
              </w:rPr>
              <w:t>Optimise funds allocation</w:t>
            </w:r>
          </w:p>
        </w:tc>
      </w:tr>
      <w:tr w:rsidR="005B252F" w:rsidRPr="00D87086" w14:paraId="25E72AD8" w14:textId="77777777" w:rsidTr="007A52E5">
        <w:trPr>
          <w:gridAfter w:val="1"/>
          <w:wAfter w:w="4374" w:type="dxa"/>
          <w:trHeight w:val="268"/>
        </w:trPr>
        <w:tc>
          <w:tcPr>
            <w:tcW w:w="4626" w:type="dxa"/>
            <w:shd w:val="clear" w:color="auto" w:fill="auto"/>
          </w:tcPr>
          <w:p w14:paraId="579C654D" w14:textId="77777777" w:rsidR="005B252F" w:rsidRPr="007B7444" w:rsidRDefault="005B252F" w:rsidP="007A52E5">
            <w:pPr>
              <w:spacing w:before="40" w:line="276" w:lineRule="auto"/>
              <w:jc w:val="left"/>
              <w:rPr>
                <w:color w:val="auto"/>
                <w:lang w:val="en-GB"/>
              </w:rPr>
            </w:pPr>
            <w:r w:rsidRPr="007A52E5">
              <w:rPr>
                <w:b/>
                <w:lang w:val="en-GB"/>
              </w:rPr>
              <w:t>Industry</w:t>
            </w:r>
          </w:p>
        </w:tc>
      </w:tr>
      <w:tr w:rsidR="005B252F" w:rsidRPr="00D87086" w14:paraId="2A135326" w14:textId="77777777" w:rsidTr="007A52E5">
        <w:trPr>
          <w:gridAfter w:val="1"/>
          <w:wAfter w:w="4374" w:type="dxa"/>
          <w:trHeight w:val="268"/>
        </w:trPr>
        <w:tc>
          <w:tcPr>
            <w:tcW w:w="4626" w:type="dxa"/>
            <w:shd w:val="clear" w:color="auto" w:fill="auto"/>
          </w:tcPr>
          <w:p w14:paraId="30635B37" w14:textId="77777777" w:rsidR="005B252F" w:rsidRPr="007A52E5" w:rsidRDefault="005B252F" w:rsidP="00890E38">
            <w:pPr>
              <w:pStyle w:val="ListParagraph"/>
              <w:numPr>
                <w:ilvl w:val="0"/>
                <w:numId w:val="23"/>
              </w:numPr>
              <w:spacing w:before="40" w:line="240" w:lineRule="auto"/>
              <w:rPr>
                <w:lang w:val="en-GB"/>
              </w:rPr>
            </w:pPr>
            <w:r w:rsidRPr="007A52E5">
              <w:rPr>
                <w:lang w:val="en-GB"/>
              </w:rPr>
              <w:t>Information and support tools</w:t>
            </w:r>
          </w:p>
          <w:p w14:paraId="6EAF100A" w14:textId="77777777" w:rsidR="005B252F" w:rsidRPr="007A52E5" w:rsidRDefault="005B252F" w:rsidP="00890E38">
            <w:pPr>
              <w:pStyle w:val="ListParagraph"/>
              <w:numPr>
                <w:ilvl w:val="0"/>
                <w:numId w:val="23"/>
              </w:numPr>
              <w:spacing w:before="40" w:line="240" w:lineRule="auto"/>
              <w:rPr>
                <w:lang w:val="en-GB"/>
              </w:rPr>
            </w:pPr>
            <w:r w:rsidRPr="007A52E5">
              <w:rPr>
                <w:lang w:val="en-GB"/>
              </w:rPr>
              <w:t xml:space="preserve">Innovation </w:t>
            </w:r>
          </w:p>
          <w:p w14:paraId="4D073F47" w14:textId="77777777" w:rsidR="005B252F" w:rsidRPr="007A52E5" w:rsidRDefault="005B252F" w:rsidP="00890E38">
            <w:pPr>
              <w:pStyle w:val="ListParagraph"/>
              <w:numPr>
                <w:ilvl w:val="0"/>
                <w:numId w:val="23"/>
              </w:numPr>
              <w:spacing w:before="40" w:line="240" w:lineRule="auto"/>
              <w:rPr>
                <w:b/>
                <w:lang w:val="en-GB"/>
              </w:rPr>
            </w:pPr>
            <w:r w:rsidRPr="007A52E5">
              <w:rPr>
                <w:lang w:val="en-GB"/>
              </w:rPr>
              <w:t>Data provision and access</w:t>
            </w:r>
          </w:p>
        </w:tc>
      </w:tr>
    </w:tbl>
    <w:p w14:paraId="42698FCD" w14:textId="77777777" w:rsidR="002E21C3" w:rsidRDefault="002E21C3" w:rsidP="002E21C3">
      <w:pPr>
        <w:rPr>
          <w:lang w:val="en-GB"/>
        </w:rPr>
      </w:pPr>
    </w:p>
    <w:p w14:paraId="66BE91BF" w14:textId="77777777" w:rsidR="00B74035" w:rsidRPr="00017304" w:rsidRDefault="00B74035" w:rsidP="002E21C3">
      <w:pPr>
        <w:rPr>
          <w:lang w:val="en-GB"/>
        </w:rPr>
      </w:pPr>
    </w:p>
    <w:p w14:paraId="37EA4A44" w14:textId="77777777" w:rsidR="00BC348F" w:rsidRPr="00D87086" w:rsidRDefault="00BC348F" w:rsidP="002E3DAD">
      <w:pPr>
        <w:pStyle w:val="Heading1"/>
        <w:pageBreakBefore/>
      </w:pPr>
      <w:bookmarkStart w:id="38" w:name="_Toc469063820"/>
      <w:r w:rsidRPr="00D87086">
        <w:lastRenderedPageBreak/>
        <w:t>Risk assessment for implementation</w:t>
      </w:r>
      <w:bookmarkEnd w:id="38"/>
    </w:p>
    <w:p w14:paraId="322FF28A" w14:textId="77777777" w:rsidR="00882FE2" w:rsidRPr="00D87086" w:rsidRDefault="00882FE2" w:rsidP="00882FE2">
      <w:pPr>
        <w:rPr>
          <w:lang w:val="en-GB"/>
        </w:rPr>
      </w:pPr>
      <w:r w:rsidRPr="00D87086">
        <w:rPr>
          <w:lang w:val="en-GB"/>
        </w:rPr>
        <w:t>A “strengths, weaknesses, opportunities, and threats” (SWOT) analysis</w:t>
      </w:r>
      <w:r w:rsidR="007B059F" w:rsidRPr="00D87086">
        <w:rPr>
          <w:lang w:val="en-GB"/>
        </w:rPr>
        <w:t xml:space="preserve"> is shown in Table </w:t>
      </w:r>
      <w:r w:rsidR="008C5941" w:rsidRPr="00D87086">
        <w:rPr>
          <w:lang w:val="en-GB"/>
        </w:rPr>
        <w:t>3.</w:t>
      </w:r>
      <w:r w:rsidR="00E039BE" w:rsidRPr="00D87086">
        <w:rPr>
          <w:lang w:val="en-GB"/>
        </w:rPr>
        <w:t xml:space="preserve"> </w:t>
      </w:r>
    </w:p>
    <w:p w14:paraId="747857D2" w14:textId="77777777" w:rsidR="00134FCB" w:rsidRPr="00D87086" w:rsidRDefault="007B059F" w:rsidP="00134FCB">
      <w:pPr>
        <w:spacing w:after="0"/>
        <w:rPr>
          <w:lang w:val="en-GB"/>
        </w:rPr>
      </w:pPr>
      <w:proofErr w:type="gramStart"/>
      <w:r w:rsidRPr="00D87086">
        <w:rPr>
          <w:lang w:val="en-GB"/>
        </w:rPr>
        <w:t xml:space="preserve">Table </w:t>
      </w:r>
      <w:r w:rsidR="008C5941" w:rsidRPr="00D87086">
        <w:rPr>
          <w:lang w:val="en-GB"/>
        </w:rPr>
        <w:t>3</w:t>
      </w:r>
      <w:r w:rsidR="00134FCB" w:rsidRPr="00D87086">
        <w:rPr>
          <w:lang w:val="en-GB"/>
        </w:rPr>
        <w:t>.</w:t>
      </w:r>
      <w:proofErr w:type="gramEnd"/>
      <w:r w:rsidR="00134FCB" w:rsidRPr="00D87086">
        <w:rPr>
          <w:lang w:val="en-GB"/>
        </w:rPr>
        <w:t xml:space="preserve"> Risk assessment for implementation of HIREP-ERIC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7"/>
        <w:gridCol w:w="4483"/>
      </w:tblGrid>
      <w:tr w:rsidR="00882FE2" w:rsidRPr="00D87086" w14:paraId="0E61698F" w14:textId="77777777" w:rsidTr="008C5941">
        <w:tc>
          <w:tcPr>
            <w:tcW w:w="4517" w:type="dxa"/>
            <w:tcBorders>
              <w:top w:val="single" w:sz="4" w:space="0" w:color="auto"/>
              <w:left w:val="single" w:sz="4" w:space="0" w:color="auto"/>
              <w:bottom w:val="single" w:sz="4" w:space="0" w:color="auto"/>
              <w:right w:val="single" w:sz="4" w:space="0" w:color="auto"/>
            </w:tcBorders>
          </w:tcPr>
          <w:p w14:paraId="47CDFC43" w14:textId="77777777" w:rsidR="00882FE2" w:rsidRPr="00D87086" w:rsidRDefault="00882FE2">
            <w:pPr>
              <w:rPr>
                <w:rFonts w:ascii="Book Antiqua" w:hAnsi="Book Antiqua"/>
                <w:b/>
                <w:sz w:val="24"/>
                <w:szCs w:val="24"/>
                <w:lang w:val="en-GB" w:eastAsia="fr-FR"/>
              </w:rPr>
            </w:pPr>
            <w:r w:rsidRPr="00D87086">
              <w:rPr>
                <w:b/>
                <w:lang w:val="en-GB"/>
              </w:rPr>
              <w:t>Strengths</w:t>
            </w:r>
          </w:p>
          <w:p w14:paraId="67DB0FC6" w14:textId="77777777" w:rsidR="00E8602B" w:rsidRDefault="00E8602B" w:rsidP="00E8602B">
            <w:pPr>
              <w:numPr>
                <w:ilvl w:val="0"/>
                <w:numId w:val="6"/>
              </w:numPr>
              <w:spacing w:after="0" w:line="240" w:lineRule="auto"/>
              <w:jc w:val="left"/>
              <w:rPr>
                <w:lang w:val="en-GB"/>
              </w:rPr>
            </w:pPr>
            <w:r w:rsidRPr="00D87086">
              <w:rPr>
                <w:lang w:val="en-GB"/>
              </w:rPr>
              <w:t xml:space="preserve">Flexible and responsive to Member States needs </w:t>
            </w:r>
          </w:p>
          <w:p w14:paraId="305FB065" w14:textId="59F90D5F" w:rsidR="00E8602B" w:rsidRPr="00D87086" w:rsidRDefault="00E8602B" w:rsidP="00E8602B">
            <w:pPr>
              <w:numPr>
                <w:ilvl w:val="0"/>
                <w:numId w:val="6"/>
              </w:numPr>
              <w:spacing w:after="0" w:line="240" w:lineRule="auto"/>
              <w:jc w:val="left"/>
              <w:rPr>
                <w:lang w:val="en-GB"/>
              </w:rPr>
            </w:pPr>
            <w:r w:rsidRPr="00D87086">
              <w:rPr>
                <w:lang w:val="en-GB"/>
              </w:rPr>
              <w:t>Can extend its activities and become larger over time</w:t>
            </w:r>
          </w:p>
          <w:p w14:paraId="4453829C" w14:textId="77777777" w:rsidR="004C7100" w:rsidRPr="00D87086" w:rsidRDefault="00D34F22" w:rsidP="00E8602B">
            <w:pPr>
              <w:numPr>
                <w:ilvl w:val="0"/>
                <w:numId w:val="6"/>
              </w:numPr>
              <w:spacing w:after="0" w:line="240" w:lineRule="auto"/>
              <w:jc w:val="left"/>
              <w:rPr>
                <w:lang w:val="en-GB"/>
              </w:rPr>
            </w:pPr>
            <w:r w:rsidRPr="00D87086">
              <w:rPr>
                <w:lang w:val="en-GB"/>
              </w:rPr>
              <w:t xml:space="preserve">Provide sustainable structure for </w:t>
            </w:r>
          </w:p>
          <w:p w14:paraId="52C68691" w14:textId="77777777" w:rsidR="004C7100" w:rsidRPr="00D87086" w:rsidRDefault="00D34F22" w:rsidP="00E8602B">
            <w:pPr>
              <w:numPr>
                <w:ilvl w:val="1"/>
                <w:numId w:val="6"/>
              </w:numPr>
              <w:spacing w:after="0" w:line="240" w:lineRule="auto"/>
              <w:jc w:val="left"/>
              <w:rPr>
                <w:lang w:val="en-GB"/>
              </w:rPr>
            </w:pPr>
            <w:r w:rsidRPr="00D87086">
              <w:rPr>
                <w:lang w:val="en-GB"/>
              </w:rPr>
              <w:t>best practice exchange between Member States</w:t>
            </w:r>
          </w:p>
          <w:p w14:paraId="25255819" w14:textId="77777777" w:rsidR="00D34F22" w:rsidRPr="00D87086" w:rsidRDefault="00D34F22" w:rsidP="00E8602B">
            <w:pPr>
              <w:numPr>
                <w:ilvl w:val="1"/>
                <w:numId w:val="6"/>
              </w:numPr>
              <w:spacing w:after="0" w:line="240" w:lineRule="auto"/>
              <w:jc w:val="left"/>
              <w:rPr>
                <w:lang w:val="en-GB"/>
              </w:rPr>
            </w:pPr>
            <w:r w:rsidRPr="00D87086">
              <w:rPr>
                <w:lang w:val="en-GB"/>
              </w:rPr>
              <w:t>data collection and regular assessment and analysis</w:t>
            </w:r>
          </w:p>
          <w:p w14:paraId="24B16E62" w14:textId="50A3ECE4" w:rsidR="00D34F22" w:rsidRPr="00D87086" w:rsidRDefault="00D34F22" w:rsidP="00E8602B">
            <w:pPr>
              <w:numPr>
                <w:ilvl w:val="0"/>
                <w:numId w:val="6"/>
              </w:numPr>
              <w:spacing w:after="0" w:line="240" w:lineRule="auto"/>
              <w:jc w:val="left"/>
              <w:rPr>
                <w:lang w:val="en-GB"/>
              </w:rPr>
            </w:pPr>
            <w:r w:rsidRPr="00D87086">
              <w:rPr>
                <w:lang w:val="en-GB"/>
              </w:rPr>
              <w:t xml:space="preserve">Link national </w:t>
            </w:r>
            <w:r w:rsidR="0050642D">
              <w:rPr>
                <w:lang w:val="en-GB"/>
              </w:rPr>
              <w:t xml:space="preserve">and international </w:t>
            </w:r>
            <w:r w:rsidRPr="00D87086">
              <w:rPr>
                <w:lang w:val="en-GB"/>
              </w:rPr>
              <w:t>experts</w:t>
            </w:r>
            <w:r w:rsidR="00647098">
              <w:rPr>
                <w:lang w:val="en-GB"/>
              </w:rPr>
              <w:t>, public health institutes</w:t>
            </w:r>
            <w:r w:rsidRPr="00D87086">
              <w:rPr>
                <w:lang w:val="en-GB"/>
              </w:rPr>
              <w:t xml:space="preserve"> and research </w:t>
            </w:r>
            <w:r w:rsidR="00C10C34" w:rsidRPr="00D87086">
              <w:rPr>
                <w:lang w:val="en-GB"/>
              </w:rPr>
              <w:t>institutes</w:t>
            </w:r>
            <w:r w:rsidRPr="00D87086">
              <w:rPr>
                <w:lang w:val="en-GB"/>
              </w:rPr>
              <w:t xml:space="preserve"> </w:t>
            </w:r>
          </w:p>
          <w:p w14:paraId="45E45B07" w14:textId="1D542FD3" w:rsidR="004C7100" w:rsidRPr="00D87086" w:rsidRDefault="00E8602B" w:rsidP="00E8602B">
            <w:pPr>
              <w:numPr>
                <w:ilvl w:val="0"/>
                <w:numId w:val="6"/>
              </w:numPr>
              <w:spacing w:after="0" w:line="240" w:lineRule="auto"/>
              <w:jc w:val="left"/>
              <w:rPr>
                <w:lang w:val="en-GB"/>
              </w:rPr>
            </w:pPr>
            <w:r>
              <w:rPr>
                <w:lang w:val="en-GB"/>
              </w:rPr>
              <w:t>Potential for l</w:t>
            </w:r>
            <w:r w:rsidR="004C7100" w:rsidRPr="00D87086">
              <w:rPr>
                <w:lang w:val="en-GB"/>
              </w:rPr>
              <w:t>arger more relevant health research capacity</w:t>
            </w:r>
          </w:p>
          <w:p w14:paraId="6484E293" w14:textId="77777777" w:rsidR="00D34F22" w:rsidRPr="00D87086" w:rsidRDefault="00D34F22" w:rsidP="00E8602B">
            <w:pPr>
              <w:numPr>
                <w:ilvl w:val="0"/>
                <w:numId w:val="6"/>
              </w:numPr>
              <w:spacing w:after="0" w:line="240" w:lineRule="auto"/>
              <w:jc w:val="left"/>
              <w:rPr>
                <w:lang w:val="en-GB"/>
              </w:rPr>
            </w:pPr>
            <w:r w:rsidRPr="00D87086">
              <w:rPr>
                <w:lang w:val="en-GB"/>
              </w:rPr>
              <w:t>Builds on existing research projects and national an</w:t>
            </w:r>
            <w:r w:rsidR="004C7100" w:rsidRPr="00D87086">
              <w:rPr>
                <w:lang w:val="en-GB"/>
              </w:rPr>
              <w:t>d</w:t>
            </w:r>
            <w:r w:rsidRPr="00D87086">
              <w:rPr>
                <w:lang w:val="en-GB"/>
              </w:rPr>
              <w:t xml:space="preserve"> international organisations</w:t>
            </w:r>
          </w:p>
          <w:p w14:paraId="58F502BC" w14:textId="77777777" w:rsidR="00D34F22" w:rsidRPr="00D87086" w:rsidRDefault="00D34F22" w:rsidP="00E8602B">
            <w:pPr>
              <w:numPr>
                <w:ilvl w:val="0"/>
                <w:numId w:val="6"/>
              </w:numPr>
              <w:spacing w:after="0" w:line="240" w:lineRule="auto"/>
              <w:jc w:val="left"/>
              <w:rPr>
                <w:lang w:val="en-GB"/>
              </w:rPr>
            </w:pPr>
            <w:r w:rsidRPr="00D87086">
              <w:rPr>
                <w:lang w:val="en-GB"/>
              </w:rPr>
              <w:t>Provides an holistic approach to population health monitoring and health system performance</w:t>
            </w:r>
          </w:p>
          <w:p w14:paraId="4A76BE43" w14:textId="77777777" w:rsidR="00D34F22" w:rsidRPr="00D87086" w:rsidRDefault="00D34F22" w:rsidP="00E8602B">
            <w:pPr>
              <w:numPr>
                <w:ilvl w:val="0"/>
                <w:numId w:val="6"/>
              </w:numPr>
              <w:spacing w:after="0" w:line="240" w:lineRule="auto"/>
              <w:jc w:val="left"/>
              <w:rPr>
                <w:lang w:val="en-GB"/>
              </w:rPr>
            </w:pPr>
            <w:r w:rsidRPr="00D87086">
              <w:rPr>
                <w:lang w:val="en-GB"/>
              </w:rPr>
              <w:t>Better partake in EU funded research project</w:t>
            </w:r>
          </w:p>
          <w:p w14:paraId="486DF39F" w14:textId="77777777" w:rsidR="00D34F22" w:rsidRPr="00D87086" w:rsidRDefault="00D34F22" w:rsidP="00E8602B">
            <w:pPr>
              <w:numPr>
                <w:ilvl w:val="0"/>
                <w:numId w:val="6"/>
              </w:numPr>
              <w:spacing w:after="0" w:line="240" w:lineRule="auto"/>
              <w:jc w:val="left"/>
              <w:rPr>
                <w:lang w:val="en-GB"/>
              </w:rPr>
            </w:pPr>
            <w:r w:rsidRPr="00D87086">
              <w:rPr>
                <w:lang w:val="en-GB"/>
              </w:rPr>
              <w:t xml:space="preserve">Assist with elements of overarching project </w:t>
            </w:r>
            <w:r w:rsidR="004C7100" w:rsidRPr="00D87086">
              <w:rPr>
                <w:lang w:val="en-GB"/>
              </w:rPr>
              <w:t>management</w:t>
            </w:r>
          </w:p>
          <w:p w14:paraId="3D27E817" w14:textId="0A78823B" w:rsidR="0050642D" w:rsidRPr="00D87086" w:rsidRDefault="004C7100" w:rsidP="0075585D">
            <w:pPr>
              <w:numPr>
                <w:ilvl w:val="0"/>
                <w:numId w:val="6"/>
              </w:numPr>
              <w:spacing w:line="240" w:lineRule="auto"/>
              <w:jc w:val="left"/>
              <w:rPr>
                <w:rFonts w:ascii="Book Antiqua" w:hAnsi="Book Antiqua"/>
                <w:sz w:val="24"/>
                <w:szCs w:val="24"/>
                <w:lang w:val="en-GB" w:eastAsia="fr-FR"/>
              </w:rPr>
            </w:pPr>
            <w:r w:rsidRPr="00D87086">
              <w:rPr>
                <w:lang w:val="en-GB"/>
              </w:rPr>
              <w:t>Pool resources for more effective resource allocation</w:t>
            </w:r>
          </w:p>
        </w:tc>
        <w:tc>
          <w:tcPr>
            <w:tcW w:w="4483" w:type="dxa"/>
            <w:tcBorders>
              <w:top w:val="single" w:sz="4" w:space="0" w:color="auto"/>
              <w:left w:val="single" w:sz="4" w:space="0" w:color="auto"/>
              <w:bottom w:val="single" w:sz="4" w:space="0" w:color="auto"/>
              <w:right w:val="single" w:sz="4" w:space="0" w:color="auto"/>
            </w:tcBorders>
          </w:tcPr>
          <w:p w14:paraId="3EFF7F37" w14:textId="77777777" w:rsidR="00882FE2" w:rsidRPr="00D87086" w:rsidRDefault="00882FE2">
            <w:pPr>
              <w:rPr>
                <w:rFonts w:ascii="Book Antiqua" w:hAnsi="Book Antiqua"/>
                <w:b/>
                <w:sz w:val="24"/>
                <w:szCs w:val="24"/>
                <w:lang w:val="en-GB" w:eastAsia="fr-FR"/>
              </w:rPr>
            </w:pPr>
            <w:r w:rsidRPr="00D87086">
              <w:rPr>
                <w:b/>
                <w:lang w:val="en-GB"/>
              </w:rPr>
              <w:t>Opportunities</w:t>
            </w:r>
          </w:p>
          <w:p w14:paraId="7D7A4385" w14:textId="77777777" w:rsidR="00E8602B" w:rsidRDefault="00E8602B" w:rsidP="00E8602B">
            <w:pPr>
              <w:numPr>
                <w:ilvl w:val="0"/>
                <w:numId w:val="7"/>
              </w:numPr>
              <w:spacing w:after="0" w:line="240" w:lineRule="auto"/>
              <w:jc w:val="left"/>
              <w:rPr>
                <w:lang w:val="en-GB"/>
              </w:rPr>
            </w:pPr>
            <w:r>
              <w:rPr>
                <w:lang w:val="en-GB"/>
              </w:rPr>
              <w:t>Demands from EU political bodies</w:t>
            </w:r>
          </w:p>
          <w:p w14:paraId="1EB077CE" w14:textId="7AB9AE5F" w:rsidR="00EC11C4" w:rsidRPr="00E8602B" w:rsidRDefault="00134FCB" w:rsidP="00E8602B">
            <w:pPr>
              <w:numPr>
                <w:ilvl w:val="0"/>
                <w:numId w:val="7"/>
              </w:numPr>
              <w:spacing w:after="0" w:line="240" w:lineRule="auto"/>
              <w:jc w:val="left"/>
              <w:rPr>
                <w:lang w:val="en-GB"/>
              </w:rPr>
            </w:pPr>
            <w:r w:rsidRPr="00D87086">
              <w:rPr>
                <w:lang w:val="en-GB"/>
              </w:rPr>
              <w:t>Member States ownership</w:t>
            </w:r>
          </w:p>
          <w:p w14:paraId="72F0DA32" w14:textId="77777777" w:rsidR="00EC11C4" w:rsidRPr="00D87086" w:rsidRDefault="00EC11C4" w:rsidP="00890E38">
            <w:pPr>
              <w:numPr>
                <w:ilvl w:val="0"/>
                <w:numId w:val="7"/>
              </w:numPr>
              <w:spacing w:after="0" w:line="240" w:lineRule="auto"/>
              <w:jc w:val="left"/>
              <w:rPr>
                <w:lang w:val="en-GB"/>
              </w:rPr>
            </w:pPr>
            <w:r w:rsidRPr="00D87086">
              <w:rPr>
                <w:lang w:val="en-GB"/>
              </w:rPr>
              <w:t>Innovation in domains of data collection</w:t>
            </w:r>
          </w:p>
          <w:p w14:paraId="1CEFB17E" w14:textId="77777777" w:rsidR="00EC11C4" w:rsidRPr="00D87086" w:rsidRDefault="00EC11C4" w:rsidP="00890E38">
            <w:pPr>
              <w:numPr>
                <w:ilvl w:val="0"/>
                <w:numId w:val="7"/>
              </w:numPr>
              <w:spacing w:after="0" w:line="240" w:lineRule="auto"/>
              <w:jc w:val="left"/>
              <w:rPr>
                <w:lang w:val="en-GB"/>
              </w:rPr>
            </w:pPr>
            <w:r w:rsidRPr="00D87086">
              <w:rPr>
                <w:lang w:val="en-GB"/>
              </w:rPr>
              <w:t>Complex health indicators</w:t>
            </w:r>
          </w:p>
          <w:p w14:paraId="3278F608" w14:textId="77777777" w:rsidR="00EC11C4" w:rsidRPr="00D87086" w:rsidRDefault="00EC11C4" w:rsidP="00890E38">
            <w:pPr>
              <w:numPr>
                <w:ilvl w:val="0"/>
                <w:numId w:val="7"/>
              </w:numPr>
              <w:spacing w:after="0" w:line="240" w:lineRule="auto"/>
              <w:jc w:val="left"/>
              <w:rPr>
                <w:lang w:val="en-GB"/>
              </w:rPr>
            </w:pPr>
            <w:r w:rsidRPr="00D87086">
              <w:rPr>
                <w:lang w:val="en-GB"/>
              </w:rPr>
              <w:t>Possibilities for data linkage</w:t>
            </w:r>
          </w:p>
          <w:p w14:paraId="658360C7" w14:textId="77777777" w:rsidR="00EC11C4" w:rsidRPr="00D87086" w:rsidRDefault="00EC11C4" w:rsidP="00890E38">
            <w:pPr>
              <w:numPr>
                <w:ilvl w:val="0"/>
                <w:numId w:val="7"/>
              </w:numPr>
              <w:spacing w:after="0" w:line="240" w:lineRule="auto"/>
              <w:jc w:val="left"/>
              <w:rPr>
                <w:lang w:val="en-GB"/>
              </w:rPr>
            </w:pPr>
            <w:r w:rsidRPr="00D87086">
              <w:rPr>
                <w:lang w:val="en-GB"/>
              </w:rPr>
              <w:t>Diversity of stak</w:t>
            </w:r>
            <w:r w:rsidR="00A95D4C" w:rsidRPr="00D87086">
              <w:rPr>
                <w:lang w:val="en-GB"/>
              </w:rPr>
              <w:t>e</w:t>
            </w:r>
            <w:r w:rsidRPr="00D87086">
              <w:rPr>
                <w:lang w:val="en-GB"/>
              </w:rPr>
              <w:t>holders</w:t>
            </w:r>
          </w:p>
          <w:p w14:paraId="7C24A441" w14:textId="77777777" w:rsidR="00882FE2" w:rsidRPr="00D87086" w:rsidRDefault="00A95D4C" w:rsidP="00890E38">
            <w:pPr>
              <w:numPr>
                <w:ilvl w:val="0"/>
                <w:numId w:val="7"/>
              </w:numPr>
              <w:spacing w:after="0" w:line="240" w:lineRule="auto"/>
              <w:jc w:val="left"/>
              <w:rPr>
                <w:rFonts w:ascii="Book Antiqua" w:hAnsi="Book Antiqua"/>
                <w:sz w:val="24"/>
                <w:szCs w:val="24"/>
                <w:lang w:val="en-GB" w:eastAsia="fr-FR"/>
              </w:rPr>
            </w:pPr>
            <w:r w:rsidRPr="00D87086">
              <w:rPr>
                <w:lang w:val="en-GB"/>
              </w:rPr>
              <w:t>Provide overview in health information activities</w:t>
            </w:r>
          </w:p>
          <w:p w14:paraId="24BE5C62" w14:textId="77777777" w:rsidR="00C10C34" w:rsidRPr="00D87086" w:rsidRDefault="00C10C34" w:rsidP="00890E38">
            <w:pPr>
              <w:numPr>
                <w:ilvl w:val="0"/>
                <w:numId w:val="7"/>
              </w:numPr>
              <w:spacing w:after="0" w:line="240" w:lineRule="auto"/>
              <w:jc w:val="left"/>
              <w:rPr>
                <w:rFonts w:ascii="Book Antiqua" w:hAnsi="Book Antiqua"/>
                <w:sz w:val="24"/>
                <w:szCs w:val="24"/>
                <w:lang w:val="en-GB" w:eastAsia="fr-FR"/>
              </w:rPr>
            </w:pPr>
            <w:r w:rsidRPr="00D87086">
              <w:rPr>
                <w:lang w:val="en-GB"/>
              </w:rPr>
              <w:t>Interaction with national public health institutes</w:t>
            </w:r>
          </w:p>
          <w:p w14:paraId="4F9BFF33" w14:textId="77777777" w:rsidR="00C10C34" w:rsidRPr="00FD75D3" w:rsidRDefault="00C10C34" w:rsidP="00890E38">
            <w:pPr>
              <w:numPr>
                <w:ilvl w:val="0"/>
                <w:numId w:val="7"/>
              </w:numPr>
              <w:spacing w:after="0" w:line="240" w:lineRule="auto"/>
              <w:jc w:val="left"/>
              <w:rPr>
                <w:rFonts w:ascii="Book Antiqua" w:hAnsi="Book Antiqua"/>
                <w:sz w:val="24"/>
                <w:szCs w:val="24"/>
                <w:lang w:val="en-GB" w:eastAsia="fr-FR"/>
              </w:rPr>
            </w:pPr>
            <w:r w:rsidRPr="00D87086">
              <w:rPr>
                <w:lang w:val="en-GB"/>
              </w:rPr>
              <w:t>Closing health information gaps</w:t>
            </w:r>
          </w:p>
          <w:p w14:paraId="2E9A1980" w14:textId="77777777" w:rsidR="00407156" w:rsidRPr="00FD75D3" w:rsidRDefault="00407156" w:rsidP="00890E38">
            <w:pPr>
              <w:numPr>
                <w:ilvl w:val="0"/>
                <w:numId w:val="7"/>
              </w:numPr>
              <w:spacing w:after="0" w:line="240" w:lineRule="auto"/>
              <w:jc w:val="left"/>
              <w:rPr>
                <w:rFonts w:ascii="Book Antiqua" w:hAnsi="Book Antiqua"/>
                <w:sz w:val="24"/>
                <w:szCs w:val="24"/>
                <w:lang w:val="en-GB" w:eastAsia="fr-FR"/>
              </w:rPr>
            </w:pPr>
            <w:r>
              <w:rPr>
                <w:lang w:val="en-GB"/>
              </w:rPr>
              <w:t>Responding to increasing demands in health information</w:t>
            </w:r>
          </w:p>
          <w:p w14:paraId="051C73BF" w14:textId="77777777" w:rsidR="00407156" w:rsidRPr="00FD75D3" w:rsidRDefault="00407156" w:rsidP="00407156">
            <w:pPr>
              <w:numPr>
                <w:ilvl w:val="0"/>
                <w:numId w:val="7"/>
              </w:numPr>
              <w:spacing w:after="0" w:line="240" w:lineRule="auto"/>
              <w:jc w:val="left"/>
              <w:rPr>
                <w:rFonts w:ascii="Book Antiqua" w:hAnsi="Book Antiqua"/>
                <w:sz w:val="24"/>
                <w:szCs w:val="24"/>
                <w:lang w:val="en-GB" w:eastAsia="fr-FR"/>
              </w:rPr>
            </w:pPr>
            <w:r>
              <w:rPr>
                <w:lang w:val="en-GB"/>
              </w:rPr>
              <w:t xml:space="preserve">Provide health information to new initiatives such as the EU health cycle and the JAF health etc. </w:t>
            </w:r>
          </w:p>
          <w:p w14:paraId="35EADE5D" w14:textId="6BDC4D7D" w:rsidR="00407156" w:rsidRPr="00D87086" w:rsidRDefault="00407156" w:rsidP="00407156">
            <w:pPr>
              <w:numPr>
                <w:ilvl w:val="0"/>
                <w:numId w:val="7"/>
              </w:numPr>
              <w:spacing w:after="0" w:line="240" w:lineRule="auto"/>
              <w:jc w:val="left"/>
              <w:rPr>
                <w:rFonts w:ascii="Book Antiqua" w:hAnsi="Book Antiqua"/>
                <w:sz w:val="24"/>
                <w:szCs w:val="24"/>
                <w:lang w:val="en-GB" w:eastAsia="fr-FR"/>
              </w:rPr>
            </w:pPr>
            <w:r>
              <w:rPr>
                <w:lang w:val="en-GB"/>
              </w:rPr>
              <w:t>Through the consultation platform there is an an opportunity for alignment of EC entities and international organisations</w:t>
            </w:r>
          </w:p>
        </w:tc>
      </w:tr>
      <w:tr w:rsidR="00882FE2" w:rsidRPr="00D87086" w14:paraId="251CFB6C" w14:textId="77777777" w:rsidTr="008C5941">
        <w:tc>
          <w:tcPr>
            <w:tcW w:w="4517" w:type="dxa"/>
            <w:tcBorders>
              <w:top w:val="single" w:sz="4" w:space="0" w:color="auto"/>
              <w:left w:val="single" w:sz="4" w:space="0" w:color="auto"/>
              <w:bottom w:val="single" w:sz="4" w:space="0" w:color="auto"/>
              <w:right w:val="single" w:sz="4" w:space="0" w:color="auto"/>
            </w:tcBorders>
          </w:tcPr>
          <w:p w14:paraId="4A1B4946" w14:textId="68D11266" w:rsidR="00882FE2" w:rsidRPr="00D87086" w:rsidRDefault="00882FE2">
            <w:pPr>
              <w:rPr>
                <w:rFonts w:ascii="Book Antiqua" w:hAnsi="Book Antiqua"/>
                <w:b/>
                <w:sz w:val="24"/>
                <w:szCs w:val="24"/>
                <w:lang w:val="en-GB" w:eastAsia="fr-FR"/>
              </w:rPr>
            </w:pPr>
            <w:r w:rsidRPr="00D87086">
              <w:rPr>
                <w:b/>
                <w:lang w:val="en-GB"/>
              </w:rPr>
              <w:t>Weaknesses</w:t>
            </w:r>
          </w:p>
          <w:p w14:paraId="13D6D05C" w14:textId="77777777" w:rsidR="00882FE2" w:rsidRPr="004B3D92" w:rsidRDefault="00EC11C4" w:rsidP="00890E38">
            <w:pPr>
              <w:numPr>
                <w:ilvl w:val="0"/>
                <w:numId w:val="8"/>
              </w:numPr>
              <w:spacing w:after="0" w:line="240" w:lineRule="auto"/>
              <w:jc w:val="left"/>
              <w:rPr>
                <w:rFonts w:ascii="Book Antiqua" w:hAnsi="Book Antiqua"/>
                <w:sz w:val="24"/>
                <w:szCs w:val="24"/>
                <w:lang w:val="en-GB" w:eastAsia="fr-FR"/>
              </w:rPr>
            </w:pPr>
            <w:r w:rsidRPr="00D87086">
              <w:rPr>
                <w:lang w:val="en-GB"/>
              </w:rPr>
              <w:t xml:space="preserve">Priority setting in initial </w:t>
            </w:r>
            <w:r w:rsidR="00A95D4C" w:rsidRPr="00D87086">
              <w:rPr>
                <w:lang w:val="en-GB"/>
              </w:rPr>
              <w:t>stage</w:t>
            </w:r>
            <w:r w:rsidRPr="00D87086">
              <w:rPr>
                <w:lang w:val="en-GB"/>
              </w:rPr>
              <w:t xml:space="preserve"> of the </w:t>
            </w:r>
            <w:r w:rsidR="00A95D4C" w:rsidRPr="00D87086">
              <w:rPr>
                <w:lang w:val="en-GB"/>
              </w:rPr>
              <w:t>tasks and activities</w:t>
            </w:r>
            <w:r w:rsidRPr="004B3D92">
              <w:rPr>
                <w:lang w:val="en-GB"/>
              </w:rPr>
              <w:t xml:space="preserve"> will be challenging</w:t>
            </w:r>
          </w:p>
          <w:p w14:paraId="3304094D" w14:textId="77777777" w:rsidR="00EC11C4" w:rsidRPr="004B3D92" w:rsidRDefault="00EC11C4" w:rsidP="00890E38">
            <w:pPr>
              <w:numPr>
                <w:ilvl w:val="0"/>
                <w:numId w:val="8"/>
              </w:numPr>
              <w:spacing w:after="0" w:line="240" w:lineRule="auto"/>
              <w:jc w:val="left"/>
              <w:rPr>
                <w:rFonts w:ascii="Book Antiqua" w:hAnsi="Book Antiqua"/>
                <w:sz w:val="24"/>
                <w:szCs w:val="24"/>
                <w:lang w:val="en-GB" w:eastAsia="fr-FR"/>
              </w:rPr>
            </w:pPr>
            <w:r w:rsidRPr="004B3D92">
              <w:rPr>
                <w:lang w:val="en-GB"/>
              </w:rPr>
              <w:t xml:space="preserve">Not all Member States </w:t>
            </w:r>
            <w:r w:rsidR="00C10C34" w:rsidRPr="004B3D92">
              <w:rPr>
                <w:lang w:val="en-GB"/>
              </w:rPr>
              <w:t xml:space="preserve">will and </w:t>
            </w:r>
            <w:r w:rsidR="00A95D4C" w:rsidRPr="004B3D92">
              <w:rPr>
                <w:lang w:val="en-GB"/>
              </w:rPr>
              <w:t>have to be involved</w:t>
            </w:r>
          </w:p>
          <w:p w14:paraId="3CE5AB6F" w14:textId="6F618000" w:rsidR="004D4E14" w:rsidRPr="004B4895" w:rsidRDefault="00A95D4C" w:rsidP="0075585D">
            <w:pPr>
              <w:numPr>
                <w:ilvl w:val="0"/>
                <w:numId w:val="8"/>
              </w:numPr>
              <w:spacing w:after="0" w:line="240" w:lineRule="auto"/>
              <w:jc w:val="left"/>
              <w:rPr>
                <w:rFonts w:ascii="Book Antiqua" w:hAnsi="Book Antiqua"/>
                <w:sz w:val="24"/>
                <w:szCs w:val="24"/>
                <w:lang w:val="en-GB" w:eastAsia="fr-FR"/>
              </w:rPr>
            </w:pPr>
            <w:r w:rsidRPr="004B3D92">
              <w:rPr>
                <w:lang w:val="en-GB"/>
              </w:rPr>
              <w:t>Health and he</w:t>
            </w:r>
            <w:r w:rsidRPr="00882700">
              <w:rPr>
                <w:lang w:val="en-GB"/>
              </w:rPr>
              <w:t>alth sector benefits will need time to become visible</w:t>
            </w:r>
          </w:p>
        </w:tc>
        <w:tc>
          <w:tcPr>
            <w:tcW w:w="4483" w:type="dxa"/>
            <w:tcBorders>
              <w:top w:val="single" w:sz="4" w:space="0" w:color="auto"/>
              <w:left w:val="single" w:sz="4" w:space="0" w:color="auto"/>
              <w:bottom w:val="single" w:sz="4" w:space="0" w:color="auto"/>
              <w:right w:val="single" w:sz="4" w:space="0" w:color="auto"/>
            </w:tcBorders>
          </w:tcPr>
          <w:p w14:paraId="51EEA0B5" w14:textId="77777777" w:rsidR="00882FE2" w:rsidRPr="00882700" w:rsidRDefault="00882FE2">
            <w:pPr>
              <w:rPr>
                <w:rFonts w:ascii="Book Antiqua" w:hAnsi="Book Antiqua"/>
                <w:b/>
                <w:sz w:val="24"/>
                <w:szCs w:val="24"/>
                <w:lang w:val="en-GB" w:eastAsia="fr-FR"/>
              </w:rPr>
            </w:pPr>
            <w:r w:rsidRPr="00882700">
              <w:rPr>
                <w:b/>
                <w:lang w:val="en-GB"/>
              </w:rPr>
              <w:t>Threats</w:t>
            </w:r>
          </w:p>
          <w:p w14:paraId="4A98225C" w14:textId="08E49DD8" w:rsidR="00EC11C4" w:rsidRPr="00882700" w:rsidRDefault="00EC11C4" w:rsidP="00890E38">
            <w:pPr>
              <w:numPr>
                <w:ilvl w:val="0"/>
                <w:numId w:val="9"/>
              </w:numPr>
              <w:spacing w:after="0" w:line="240" w:lineRule="auto"/>
              <w:jc w:val="left"/>
              <w:rPr>
                <w:lang w:val="en-GB"/>
              </w:rPr>
            </w:pPr>
            <w:r w:rsidRPr="00882700">
              <w:rPr>
                <w:lang w:val="en-GB"/>
              </w:rPr>
              <w:t>Budgetary restrictions by Member States and EU funding</w:t>
            </w:r>
          </w:p>
          <w:p w14:paraId="496AFEC2" w14:textId="77777777" w:rsidR="00EC11C4" w:rsidRPr="00882700" w:rsidRDefault="00EC11C4" w:rsidP="00890E38">
            <w:pPr>
              <w:numPr>
                <w:ilvl w:val="0"/>
                <w:numId w:val="9"/>
              </w:numPr>
              <w:spacing w:after="0" w:line="240" w:lineRule="auto"/>
              <w:jc w:val="left"/>
              <w:rPr>
                <w:lang w:val="en-GB"/>
              </w:rPr>
            </w:pPr>
            <w:r w:rsidRPr="00882700">
              <w:rPr>
                <w:lang w:val="en-GB"/>
              </w:rPr>
              <w:t>Length of finding agreement on statutes</w:t>
            </w:r>
          </w:p>
          <w:p w14:paraId="28BC426D" w14:textId="77777777" w:rsidR="00EC11C4" w:rsidRPr="00D87086" w:rsidRDefault="00EC11C4" w:rsidP="00890E38">
            <w:pPr>
              <w:numPr>
                <w:ilvl w:val="0"/>
                <w:numId w:val="9"/>
              </w:numPr>
              <w:spacing w:after="0" w:line="240" w:lineRule="auto"/>
              <w:jc w:val="left"/>
              <w:rPr>
                <w:lang w:val="en-GB"/>
              </w:rPr>
            </w:pPr>
            <w:r w:rsidRPr="00882700">
              <w:rPr>
                <w:lang w:val="en-GB"/>
              </w:rPr>
              <w:t>Timeframe to set-up the ERIC may be lengthy</w:t>
            </w:r>
          </w:p>
          <w:p w14:paraId="594D234B" w14:textId="77777777" w:rsidR="00882FE2" w:rsidRPr="00D87086" w:rsidRDefault="00EC11C4" w:rsidP="00890E38">
            <w:pPr>
              <w:numPr>
                <w:ilvl w:val="0"/>
                <w:numId w:val="9"/>
              </w:numPr>
              <w:spacing w:after="0" w:line="240" w:lineRule="auto"/>
              <w:jc w:val="left"/>
              <w:rPr>
                <w:rFonts w:ascii="Book Antiqua" w:hAnsi="Book Antiqua"/>
                <w:sz w:val="24"/>
                <w:szCs w:val="24"/>
                <w:lang w:val="en-GB" w:eastAsia="fr-FR"/>
              </w:rPr>
            </w:pPr>
            <w:r w:rsidRPr="00D87086">
              <w:rPr>
                <w:lang w:val="en-GB"/>
              </w:rPr>
              <w:t>High pressure workload</w:t>
            </w:r>
          </w:p>
          <w:p w14:paraId="7F4FC9F6" w14:textId="77777777" w:rsidR="00A95D4C" w:rsidRPr="00D87086" w:rsidRDefault="00EC11C4" w:rsidP="00890E38">
            <w:pPr>
              <w:numPr>
                <w:ilvl w:val="0"/>
                <w:numId w:val="9"/>
              </w:numPr>
              <w:spacing w:after="0" w:line="240" w:lineRule="auto"/>
              <w:jc w:val="left"/>
              <w:rPr>
                <w:lang w:val="en-GB"/>
              </w:rPr>
            </w:pPr>
            <w:r w:rsidRPr="00D87086">
              <w:rPr>
                <w:lang w:val="en-GB"/>
              </w:rPr>
              <w:t>High expectations</w:t>
            </w:r>
          </w:p>
          <w:p w14:paraId="3303DAC7" w14:textId="77777777" w:rsidR="00A95D4C" w:rsidRPr="00D87086" w:rsidRDefault="00A95D4C" w:rsidP="00890E38">
            <w:pPr>
              <w:numPr>
                <w:ilvl w:val="0"/>
                <w:numId w:val="9"/>
              </w:numPr>
              <w:spacing w:after="0" w:line="240" w:lineRule="auto"/>
              <w:jc w:val="left"/>
              <w:rPr>
                <w:lang w:val="en-GB"/>
              </w:rPr>
            </w:pPr>
            <w:r w:rsidRPr="00D87086">
              <w:rPr>
                <w:lang w:val="en-GB"/>
              </w:rPr>
              <w:t>Recruitment of suitable personnel</w:t>
            </w:r>
          </w:p>
          <w:p w14:paraId="35ECDA3D" w14:textId="5202F7A5" w:rsidR="00134FCB" w:rsidRPr="00D87086" w:rsidRDefault="00407156" w:rsidP="00890E38">
            <w:pPr>
              <w:numPr>
                <w:ilvl w:val="0"/>
                <w:numId w:val="9"/>
              </w:numPr>
              <w:spacing w:after="0" w:line="240" w:lineRule="auto"/>
              <w:jc w:val="left"/>
              <w:rPr>
                <w:lang w:val="en-GB"/>
              </w:rPr>
            </w:pPr>
            <w:r>
              <w:rPr>
                <w:lang w:val="en-GB"/>
              </w:rPr>
              <w:t>Not to be able to a</w:t>
            </w:r>
            <w:r w:rsidR="00134FCB" w:rsidRPr="00D87086">
              <w:rPr>
                <w:lang w:val="en-GB"/>
              </w:rPr>
              <w:t>ssure better governance and coordination at EU level</w:t>
            </w:r>
          </w:p>
          <w:p w14:paraId="5A7D16BF" w14:textId="77777777" w:rsidR="00C10C34" w:rsidRDefault="00C10C34" w:rsidP="00890E38">
            <w:pPr>
              <w:numPr>
                <w:ilvl w:val="0"/>
                <w:numId w:val="9"/>
              </w:numPr>
              <w:spacing w:after="0" w:line="240" w:lineRule="auto"/>
              <w:jc w:val="left"/>
              <w:rPr>
                <w:lang w:val="en-GB"/>
              </w:rPr>
            </w:pPr>
            <w:r w:rsidRPr="00D87086">
              <w:rPr>
                <w:lang w:val="en-GB"/>
              </w:rPr>
              <w:t>Health information gaps</w:t>
            </w:r>
          </w:p>
          <w:p w14:paraId="0BDE8D42" w14:textId="77777777" w:rsidR="005B252F" w:rsidRDefault="005B252F" w:rsidP="00890E38">
            <w:pPr>
              <w:numPr>
                <w:ilvl w:val="0"/>
                <w:numId w:val="9"/>
              </w:numPr>
              <w:spacing w:after="0" w:line="240" w:lineRule="auto"/>
              <w:jc w:val="left"/>
              <w:rPr>
                <w:lang w:val="en-GB"/>
              </w:rPr>
            </w:pPr>
            <w:r>
              <w:rPr>
                <w:lang w:val="en-GB"/>
              </w:rPr>
              <w:t>Timeframe to set-up the ERIC</w:t>
            </w:r>
          </w:p>
          <w:p w14:paraId="236519E8" w14:textId="7276019A" w:rsidR="00E8602B" w:rsidRDefault="00E8602B" w:rsidP="00890E38">
            <w:pPr>
              <w:numPr>
                <w:ilvl w:val="0"/>
                <w:numId w:val="9"/>
              </w:numPr>
              <w:spacing w:after="0" w:line="240" w:lineRule="auto"/>
              <w:jc w:val="left"/>
              <w:rPr>
                <w:lang w:val="en-GB"/>
              </w:rPr>
            </w:pPr>
            <w:r>
              <w:rPr>
                <w:lang w:val="en-GB"/>
              </w:rPr>
              <w:t xml:space="preserve">Competing initiatives </w:t>
            </w:r>
          </w:p>
          <w:p w14:paraId="20A99745" w14:textId="44A55F32" w:rsidR="00EC11C4" w:rsidRPr="00D87086" w:rsidRDefault="005B252F" w:rsidP="00D41CDC">
            <w:pPr>
              <w:numPr>
                <w:ilvl w:val="0"/>
                <w:numId w:val="9"/>
              </w:numPr>
              <w:spacing w:after="0" w:line="240" w:lineRule="auto"/>
              <w:jc w:val="left"/>
              <w:rPr>
                <w:rFonts w:ascii="Book Antiqua" w:hAnsi="Book Antiqua"/>
                <w:sz w:val="24"/>
                <w:szCs w:val="24"/>
                <w:lang w:val="en-GB" w:eastAsia="fr-FR"/>
              </w:rPr>
            </w:pPr>
            <w:r>
              <w:rPr>
                <w:lang w:val="en-GB"/>
              </w:rPr>
              <w:t>Once it exists: issues with data interoperability.</w:t>
            </w:r>
          </w:p>
        </w:tc>
      </w:tr>
    </w:tbl>
    <w:p w14:paraId="1B9C49ED" w14:textId="0E38A662" w:rsidR="005C136B" w:rsidRPr="00D87086" w:rsidRDefault="00882FE2" w:rsidP="00D41CDC">
      <w:pPr>
        <w:pStyle w:val="Heading1"/>
      </w:pPr>
      <w:r w:rsidRPr="00D87086">
        <w:lastRenderedPageBreak/>
        <w:t xml:space="preserve"> </w:t>
      </w:r>
      <w:bookmarkStart w:id="39" w:name="_Toc469063821"/>
      <w:r w:rsidR="005C136B" w:rsidRPr="00D87086">
        <w:t>References</w:t>
      </w:r>
      <w:bookmarkEnd w:id="39"/>
    </w:p>
    <w:p w14:paraId="55CCDB5E" w14:textId="77777777" w:rsidR="00486379" w:rsidRPr="004B3D92" w:rsidRDefault="00CD4399" w:rsidP="00CD4399">
      <w:pPr>
        <w:ind w:left="360" w:hanging="360"/>
        <w:rPr>
          <w:lang w:val="en-GB"/>
        </w:rPr>
      </w:pPr>
      <w:r w:rsidRPr="00D87086">
        <w:rPr>
          <w:lang w:val="en-GB"/>
        </w:rPr>
        <w:t>(1</w:t>
      </w:r>
      <w:r w:rsidR="00486379" w:rsidRPr="004B3D92">
        <w:rPr>
          <w:lang w:val="en-GB"/>
        </w:rPr>
        <w:t xml:space="preserve">) European Commission. </w:t>
      </w:r>
      <w:proofErr w:type="gramStart"/>
      <w:r w:rsidR="00486379" w:rsidRPr="004B3D92">
        <w:rPr>
          <w:lang w:val="en-GB"/>
        </w:rPr>
        <w:t>Second Programme of Community action in the field of health (2008–13).</w:t>
      </w:r>
      <w:proofErr w:type="gramEnd"/>
      <w:r w:rsidR="00486379" w:rsidRPr="004B3D92">
        <w:rPr>
          <w:lang w:val="en-GB"/>
        </w:rPr>
        <w:t xml:space="preserve">  2007.  Official Journal of the European Union. [</w:t>
      </w:r>
      <w:proofErr w:type="gramStart"/>
      <w:r w:rsidR="00486379" w:rsidRPr="004B3D92">
        <w:rPr>
          <w:lang w:val="en-GB"/>
        </w:rPr>
        <w:t>cited</w:t>
      </w:r>
      <w:proofErr w:type="gramEnd"/>
      <w:r w:rsidR="00486379" w:rsidRPr="004B3D92">
        <w:rPr>
          <w:lang w:val="en-GB"/>
        </w:rPr>
        <w:t xml:space="preserve"> 2016 Jun 16]. Available from: http://ec.europa.eu/health/programme/policy/2008-2013/index_en.htm </w:t>
      </w:r>
    </w:p>
    <w:p w14:paraId="2F088FEC" w14:textId="77777777" w:rsidR="00486379" w:rsidRPr="004B3D92" w:rsidRDefault="00CD4399" w:rsidP="00CD4399">
      <w:pPr>
        <w:ind w:left="360" w:hanging="360"/>
        <w:rPr>
          <w:lang w:val="en-GB"/>
        </w:rPr>
      </w:pPr>
      <w:r w:rsidRPr="004B3D92">
        <w:rPr>
          <w:lang w:val="en-GB"/>
        </w:rPr>
        <w:t>(2</w:t>
      </w:r>
      <w:r w:rsidR="00486379" w:rsidRPr="004B3D92">
        <w:rPr>
          <w:lang w:val="en-GB"/>
        </w:rPr>
        <w:t xml:space="preserve">) </w:t>
      </w:r>
      <w:r w:rsidR="00486379" w:rsidRPr="004B3D92">
        <w:rPr>
          <w:lang w:val="en-GB"/>
        </w:rPr>
        <w:tab/>
        <w:t>European Commission. Seventh Framework Programme of the European Community for research, technological development and demonstration activities (2007–2013).  2013.  Official Journal of the European Union. [</w:t>
      </w:r>
      <w:proofErr w:type="gramStart"/>
      <w:r w:rsidR="00486379" w:rsidRPr="004B3D92">
        <w:rPr>
          <w:lang w:val="en-GB"/>
        </w:rPr>
        <w:t>cited</w:t>
      </w:r>
      <w:proofErr w:type="gramEnd"/>
      <w:r w:rsidR="00486379" w:rsidRPr="004B3D92">
        <w:rPr>
          <w:lang w:val="en-GB"/>
        </w:rPr>
        <w:t xml:space="preserve"> 2016 Jun 16]. Available from: https://ec.europa.eu/research/fp7/index_en.cfm </w:t>
      </w:r>
    </w:p>
    <w:p w14:paraId="7686245A" w14:textId="77777777" w:rsidR="00486379" w:rsidRPr="00882700" w:rsidRDefault="00CD4399" w:rsidP="00CD4399">
      <w:pPr>
        <w:ind w:left="360" w:hanging="360"/>
        <w:rPr>
          <w:lang w:val="en-GB"/>
        </w:rPr>
      </w:pPr>
      <w:r w:rsidRPr="004B3D92">
        <w:rPr>
          <w:lang w:val="en-GB"/>
        </w:rPr>
        <w:t>(3</w:t>
      </w:r>
      <w:r w:rsidR="00486379" w:rsidRPr="00882700">
        <w:rPr>
          <w:lang w:val="en-GB"/>
        </w:rPr>
        <w:t xml:space="preserve">) </w:t>
      </w:r>
      <w:r w:rsidR="00486379" w:rsidRPr="00882700">
        <w:rPr>
          <w:lang w:val="en-GB"/>
        </w:rPr>
        <w:tab/>
        <w:t>European Commission. 2016. Health monitoring programme.  [</w:t>
      </w:r>
      <w:proofErr w:type="gramStart"/>
      <w:r w:rsidR="00486379" w:rsidRPr="00882700">
        <w:rPr>
          <w:lang w:val="en-GB"/>
        </w:rPr>
        <w:t>cited</w:t>
      </w:r>
      <w:proofErr w:type="gramEnd"/>
      <w:r w:rsidR="00486379" w:rsidRPr="00882700">
        <w:rPr>
          <w:lang w:val="en-GB"/>
        </w:rPr>
        <w:t xml:space="preserve"> 2016 Jun 16]. Available from: http://ec.europa.eu/health/programme/policy/eight_programmes/monitoring/index_en.htm </w:t>
      </w:r>
    </w:p>
    <w:p w14:paraId="132D85D0" w14:textId="77777777" w:rsidR="00486379" w:rsidRPr="00882700" w:rsidRDefault="00CD4399" w:rsidP="00CD4399">
      <w:pPr>
        <w:ind w:left="360" w:hanging="360"/>
        <w:rPr>
          <w:lang w:val="en-GB"/>
        </w:rPr>
      </w:pPr>
      <w:r w:rsidRPr="00882700">
        <w:rPr>
          <w:lang w:val="en-GB"/>
        </w:rPr>
        <w:t>(4</w:t>
      </w:r>
      <w:r w:rsidR="00486379" w:rsidRPr="00882700">
        <w:rPr>
          <w:lang w:val="en-GB"/>
        </w:rPr>
        <w:t xml:space="preserve">) </w:t>
      </w:r>
      <w:r w:rsidR="00486379" w:rsidRPr="00882700">
        <w:rPr>
          <w:lang w:val="en-GB"/>
        </w:rPr>
        <w:tab/>
        <w:t>REGULATION (EC) No 1338/2008 OF THE EUROPEAN PARLIAMENT AND OF THE COUNCIL of 16 December 2008 on Community statistics on public health and health and safety at work</w:t>
      </w:r>
      <w:proofErr w:type="gramStart"/>
      <w:r w:rsidR="00486379" w:rsidRPr="00882700">
        <w:rPr>
          <w:lang w:val="en-GB"/>
        </w:rPr>
        <w:t>,  The</w:t>
      </w:r>
      <w:proofErr w:type="gramEnd"/>
      <w:r w:rsidR="00486379" w:rsidRPr="00882700">
        <w:rPr>
          <w:lang w:val="en-GB"/>
        </w:rPr>
        <w:t xml:space="preserve"> European Parliament, The Council of the European Union, (2008).</w:t>
      </w:r>
    </w:p>
    <w:p w14:paraId="54732C71" w14:textId="77777777" w:rsidR="00486379" w:rsidRPr="00607A46" w:rsidRDefault="00CD4399" w:rsidP="00CD4399">
      <w:pPr>
        <w:ind w:left="360" w:hanging="360"/>
        <w:rPr>
          <w:lang w:val="en-GB"/>
        </w:rPr>
      </w:pPr>
      <w:r w:rsidRPr="00882700">
        <w:rPr>
          <w:lang w:val="en-GB"/>
        </w:rPr>
        <w:t>(5</w:t>
      </w:r>
      <w:r w:rsidR="00486379" w:rsidRPr="00882700">
        <w:rPr>
          <w:lang w:val="en-GB"/>
        </w:rPr>
        <w:t xml:space="preserve">) </w:t>
      </w:r>
      <w:r w:rsidR="00486379" w:rsidRPr="00882700">
        <w:rPr>
          <w:lang w:val="en-GB"/>
        </w:rPr>
        <w:tab/>
      </w:r>
      <w:proofErr w:type="spellStart"/>
      <w:r w:rsidR="00486379" w:rsidRPr="00882700">
        <w:rPr>
          <w:lang w:val="en-GB"/>
        </w:rPr>
        <w:t>Carinci</w:t>
      </w:r>
      <w:proofErr w:type="spellEnd"/>
      <w:r w:rsidR="00486379" w:rsidRPr="00882700">
        <w:rPr>
          <w:lang w:val="en-GB"/>
        </w:rPr>
        <w:t xml:space="preserve"> F. Essential levels of health information in Europe: an action plan for a coherent and sustainable infrastructure.  </w:t>
      </w:r>
      <w:r w:rsidR="00486379" w:rsidRPr="00607A46">
        <w:rPr>
          <w:lang w:val="en-GB"/>
        </w:rPr>
        <w:t>Health Policy 2015</w:t>
      </w:r>
      <w:proofErr w:type="gramStart"/>
      <w:r w:rsidR="00486379" w:rsidRPr="00607A46">
        <w:rPr>
          <w:lang w:val="en-GB"/>
        </w:rPr>
        <w:t>;119</w:t>
      </w:r>
      <w:proofErr w:type="gramEnd"/>
      <w:r w:rsidR="00486379" w:rsidRPr="00607A46">
        <w:rPr>
          <w:lang w:val="en-GB"/>
        </w:rPr>
        <w:t>(4):530-8.</w:t>
      </w:r>
    </w:p>
    <w:p w14:paraId="617CC783" w14:textId="77777777" w:rsidR="00486379" w:rsidRPr="00D87086" w:rsidRDefault="00486379" w:rsidP="00CD4399">
      <w:pPr>
        <w:ind w:left="360" w:hanging="360"/>
        <w:rPr>
          <w:lang w:val="en-GB"/>
        </w:rPr>
      </w:pPr>
      <w:r w:rsidRPr="00607A46">
        <w:rPr>
          <w:lang w:val="en-GB"/>
        </w:rPr>
        <w:t>(</w:t>
      </w:r>
      <w:r w:rsidR="00CD4399" w:rsidRPr="00607A46">
        <w:rPr>
          <w:lang w:val="en-GB"/>
        </w:rPr>
        <w:t>6</w:t>
      </w:r>
      <w:r w:rsidRPr="00607A46">
        <w:rPr>
          <w:lang w:val="en-GB"/>
        </w:rPr>
        <w:t xml:space="preserve">) </w:t>
      </w:r>
      <w:r w:rsidRPr="00607A46">
        <w:rPr>
          <w:lang w:val="en-GB"/>
        </w:rPr>
        <w:tab/>
      </w:r>
      <w:proofErr w:type="spellStart"/>
      <w:r w:rsidRPr="00607A46">
        <w:rPr>
          <w:lang w:val="en-GB"/>
        </w:rPr>
        <w:t>Verschuuren</w:t>
      </w:r>
      <w:proofErr w:type="spellEnd"/>
      <w:r w:rsidRPr="00607A46">
        <w:rPr>
          <w:lang w:val="en-GB"/>
        </w:rPr>
        <w:t xml:space="preserve"> M, </w:t>
      </w:r>
      <w:proofErr w:type="spellStart"/>
      <w:r w:rsidRPr="00607A46">
        <w:rPr>
          <w:lang w:val="en-GB"/>
        </w:rPr>
        <w:t>Gissler</w:t>
      </w:r>
      <w:proofErr w:type="spellEnd"/>
      <w:r w:rsidRPr="00607A46">
        <w:rPr>
          <w:lang w:val="en-GB"/>
        </w:rPr>
        <w:t xml:space="preserve"> M, </w:t>
      </w:r>
      <w:proofErr w:type="spellStart"/>
      <w:r w:rsidRPr="00607A46">
        <w:rPr>
          <w:lang w:val="en-GB"/>
        </w:rPr>
        <w:t>Kilpelainen</w:t>
      </w:r>
      <w:proofErr w:type="spellEnd"/>
      <w:r w:rsidRPr="00607A46">
        <w:rPr>
          <w:lang w:val="en-GB"/>
        </w:rPr>
        <w:t xml:space="preserve"> K, </w:t>
      </w:r>
      <w:proofErr w:type="spellStart"/>
      <w:r w:rsidRPr="00607A46">
        <w:rPr>
          <w:lang w:val="en-GB"/>
        </w:rPr>
        <w:t>Tuomi-Nikula</w:t>
      </w:r>
      <w:proofErr w:type="spellEnd"/>
      <w:r w:rsidRPr="00607A46">
        <w:rPr>
          <w:lang w:val="en-GB"/>
        </w:rPr>
        <w:t xml:space="preserve"> A, </w:t>
      </w:r>
      <w:proofErr w:type="spellStart"/>
      <w:r w:rsidRPr="00607A46">
        <w:rPr>
          <w:lang w:val="en-GB"/>
        </w:rPr>
        <w:t>Sihvonen</w:t>
      </w:r>
      <w:proofErr w:type="spellEnd"/>
      <w:r w:rsidRPr="00607A46">
        <w:rPr>
          <w:lang w:val="en-GB"/>
        </w:rPr>
        <w:t xml:space="preserve"> AP, </w:t>
      </w:r>
      <w:proofErr w:type="spellStart"/>
      <w:r w:rsidRPr="00607A46">
        <w:rPr>
          <w:lang w:val="en-GB"/>
        </w:rPr>
        <w:t>Thelen</w:t>
      </w:r>
      <w:proofErr w:type="spellEnd"/>
      <w:r w:rsidRPr="00607A46">
        <w:rPr>
          <w:lang w:val="en-GB"/>
        </w:rPr>
        <w:t xml:space="preserve"> J, et al. </w:t>
      </w:r>
      <w:r w:rsidRPr="00D87086">
        <w:rPr>
          <w:lang w:val="en-GB"/>
        </w:rPr>
        <w:t>Public health indicators for the EU: the joint action for ECHIM (European Community Health Indicators &amp; Monitoring). Arch Public Health 2013</w:t>
      </w:r>
      <w:proofErr w:type="gramStart"/>
      <w:r w:rsidRPr="00D87086">
        <w:rPr>
          <w:lang w:val="en-GB"/>
        </w:rPr>
        <w:t>;71</w:t>
      </w:r>
      <w:proofErr w:type="gramEnd"/>
      <w:r w:rsidRPr="00D87086">
        <w:rPr>
          <w:lang w:val="en-GB"/>
        </w:rPr>
        <w:t>(1):12. [</w:t>
      </w:r>
      <w:proofErr w:type="gramStart"/>
      <w:r w:rsidRPr="00D87086">
        <w:rPr>
          <w:lang w:val="en-GB"/>
        </w:rPr>
        <w:t>cited</w:t>
      </w:r>
      <w:proofErr w:type="gramEnd"/>
      <w:r w:rsidRPr="00D87086">
        <w:rPr>
          <w:lang w:val="en-GB"/>
        </w:rPr>
        <w:t xml:space="preserve"> 2016 Jun 16]. Available at: </w:t>
      </w:r>
      <w:hyperlink r:id="rId19" w:history="1">
        <w:r w:rsidRPr="007612B6">
          <w:rPr>
            <w:lang w:val="en-GB"/>
          </w:rPr>
          <w:t>http://www.archpublichealth.com/content/pdf/2049-3258-71-12.pdf</w:t>
        </w:r>
      </w:hyperlink>
      <w:r w:rsidRPr="00D87086">
        <w:rPr>
          <w:lang w:val="en-GB"/>
        </w:rPr>
        <w:t xml:space="preserve"> </w:t>
      </w:r>
    </w:p>
    <w:p w14:paraId="0AFECBFA" w14:textId="77777777" w:rsidR="00486379" w:rsidRPr="004B3D92" w:rsidRDefault="00CD4399" w:rsidP="00CD4399">
      <w:pPr>
        <w:ind w:left="360" w:hanging="360"/>
        <w:rPr>
          <w:lang w:val="en-GB"/>
        </w:rPr>
      </w:pPr>
      <w:r w:rsidRPr="00D87086">
        <w:rPr>
          <w:lang w:val="en-GB"/>
        </w:rPr>
        <w:t>(7</w:t>
      </w:r>
      <w:r w:rsidR="00486379" w:rsidRPr="00D87086">
        <w:rPr>
          <w:lang w:val="en-GB"/>
        </w:rPr>
        <w:t>) Regulation (EU) n°141/2013 on European Health Interview survey covers parts of the 2 first domains (health status and health determinants)</w:t>
      </w:r>
      <w:r w:rsidR="00B92C80" w:rsidRPr="004B3D92">
        <w:rPr>
          <w:lang w:val="en-GB"/>
        </w:rPr>
        <w:t>.</w:t>
      </w:r>
    </w:p>
    <w:p w14:paraId="6BE3F20F" w14:textId="77777777" w:rsidR="00486379" w:rsidRPr="004B3D92" w:rsidRDefault="00CD4399" w:rsidP="00CD4399">
      <w:pPr>
        <w:ind w:left="360" w:hanging="360"/>
        <w:rPr>
          <w:lang w:val="en-GB"/>
        </w:rPr>
      </w:pPr>
      <w:r w:rsidRPr="004B3D92">
        <w:rPr>
          <w:lang w:val="en-GB"/>
        </w:rPr>
        <w:t>(8</w:t>
      </w:r>
      <w:r w:rsidR="00486379" w:rsidRPr="004B3D92">
        <w:rPr>
          <w:lang w:val="en-GB"/>
        </w:rPr>
        <w:t>) Regulation (EU) n° 328/2011 on statistics on causes of death, adopted in 2011</w:t>
      </w:r>
      <w:r w:rsidR="00B92C80" w:rsidRPr="004B3D92">
        <w:rPr>
          <w:lang w:val="en-GB"/>
        </w:rPr>
        <w:t>.</w:t>
      </w:r>
    </w:p>
    <w:p w14:paraId="22CA2B27" w14:textId="77777777" w:rsidR="00486379" w:rsidRPr="00882700" w:rsidRDefault="00CD4399" w:rsidP="00CD4399">
      <w:pPr>
        <w:ind w:left="360" w:hanging="360"/>
        <w:rPr>
          <w:lang w:val="en-GB"/>
        </w:rPr>
      </w:pPr>
      <w:r w:rsidRPr="004B3D92">
        <w:rPr>
          <w:lang w:val="en-GB"/>
        </w:rPr>
        <w:t>(9</w:t>
      </w:r>
      <w:r w:rsidR="00486379" w:rsidRPr="00882700">
        <w:rPr>
          <w:lang w:val="en-GB"/>
        </w:rPr>
        <w:t>) Regulation EU n°349/2011 on accidents at work, adopted in 2011</w:t>
      </w:r>
      <w:r w:rsidR="00B92C80" w:rsidRPr="00882700">
        <w:rPr>
          <w:lang w:val="en-GB"/>
        </w:rPr>
        <w:t>.</w:t>
      </w:r>
      <w:r w:rsidR="00486379" w:rsidRPr="00882700">
        <w:rPr>
          <w:lang w:val="en-GB"/>
        </w:rPr>
        <w:t xml:space="preserve"> </w:t>
      </w:r>
    </w:p>
    <w:p w14:paraId="40E63AD4" w14:textId="77777777" w:rsidR="00A57BA7" w:rsidRPr="00D87086" w:rsidRDefault="00A57BA7" w:rsidP="00CD4399">
      <w:pPr>
        <w:ind w:left="360" w:hanging="360"/>
        <w:rPr>
          <w:lang w:val="en-GB"/>
        </w:rPr>
      </w:pPr>
      <w:proofErr w:type="gramStart"/>
      <w:r w:rsidRPr="00882700">
        <w:rPr>
          <w:lang w:val="en-GB"/>
        </w:rPr>
        <w:t>(10)</w:t>
      </w:r>
      <w:r w:rsidRPr="007612B6">
        <w:rPr>
          <w:lang w:val="en-GB"/>
        </w:rPr>
        <w:t xml:space="preserve"> ERIC Practical guidelines, Legal framework for a European Research Infrastructure Consortium.</w:t>
      </w:r>
      <w:proofErr w:type="gramEnd"/>
      <w:r w:rsidRPr="007612B6">
        <w:rPr>
          <w:lang w:val="en-GB"/>
        </w:rPr>
        <w:t xml:space="preserve"> [</w:t>
      </w:r>
      <w:proofErr w:type="gramStart"/>
      <w:r w:rsidRPr="007612B6">
        <w:rPr>
          <w:lang w:val="en-GB"/>
        </w:rPr>
        <w:t>cited</w:t>
      </w:r>
      <w:proofErr w:type="gramEnd"/>
      <w:r w:rsidRPr="007612B6">
        <w:rPr>
          <w:lang w:val="en-GB"/>
        </w:rPr>
        <w:t xml:space="preserve"> 2016 Jun 16]. Available at: https://ec.europa.eu/research/infrastructures/index_en.cfm?pg=eric</w:t>
      </w:r>
    </w:p>
    <w:p w14:paraId="5B6BB1AD" w14:textId="77777777" w:rsidR="00DF1F50" w:rsidRPr="004B3D92" w:rsidRDefault="00A57BA7" w:rsidP="00CD4399">
      <w:pPr>
        <w:ind w:left="360" w:hanging="360"/>
        <w:rPr>
          <w:lang w:val="en-GB"/>
        </w:rPr>
      </w:pPr>
      <w:r w:rsidRPr="00D87086">
        <w:rPr>
          <w:lang w:val="en-GB"/>
        </w:rPr>
        <w:t>(11</w:t>
      </w:r>
      <w:r w:rsidR="00CD4399" w:rsidRPr="00D87086">
        <w:rPr>
          <w:lang w:val="en-GB"/>
        </w:rPr>
        <w:t xml:space="preserve">) </w:t>
      </w:r>
      <w:r w:rsidR="00DF1F50" w:rsidRPr="00D87086">
        <w:rPr>
          <w:lang w:val="en-GB"/>
        </w:rPr>
        <w:t xml:space="preserve">European Commission. Proposal for a regulation of the European Parliament and of the Council on establishing a Health for Growth Programme, for the third multi-annual programme of EU action in the field of health for the period 2014-2020. Brussels 2011. </w:t>
      </w:r>
      <w:proofErr w:type="gramStart"/>
      <w:r w:rsidR="00DF1F50" w:rsidRPr="00D87086">
        <w:rPr>
          <w:lang w:val="en-GB"/>
        </w:rPr>
        <w:t>COM (2011) 709 final.</w:t>
      </w:r>
      <w:proofErr w:type="gramEnd"/>
    </w:p>
    <w:p w14:paraId="4D8C31CF" w14:textId="77777777" w:rsidR="00FD5EAA" w:rsidRPr="00D87086" w:rsidRDefault="00A57BA7" w:rsidP="00CD4399">
      <w:pPr>
        <w:ind w:left="360" w:hanging="360"/>
        <w:rPr>
          <w:lang w:val="en-GB"/>
        </w:rPr>
      </w:pPr>
      <w:r w:rsidRPr="004B3D92">
        <w:rPr>
          <w:lang w:val="en-GB"/>
        </w:rPr>
        <w:t>(12</w:t>
      </w:r>
      <w:r w:rsidR="00CD4399" w:rsidRPr="004B3D92">
        <w:rPr>
          <w:lang w:val="en-GB"/>
        </w:rPr>
        <w:t xml:space="preserve">) </w:t>
      </w:r>
      <w:r w:rsidR="00FD5EAA" w:rsidRPr="004B3D92">
        <w:rPr>
          <w:lang w:val="en-GB"/>
        </w:rPr>
        <w:t>Guinea J. et al. Impact oriented monitoring: A new methodology for monitoring and evaluation of international public health research projects. Research Evaluation (2015) 24 (2): 131-145. [</w:t>
      </w:r>
      <w:proofErr w:type="gramStart"/>
      <w:r w:rsidR="00FD5EAA" w:rsidRPr="004B3D92">
        <w:rPr>
          <w:lang w:val="en-GB"/>
        </w:rPr>
        <w:t>cited</w:t>
      </w:r>
      <w:proofErr w:type="gramEnd"/>
      <w:r w:rsidR="00FD5EAA" w:rsidRPr="004B3D92">
        <w:rPr>
          <w:lang w:val="en-GB"/>
        </w:rPr>
        <w:t xml:space="preserve"> 2016 Jun 16]. Available at: </w:t>
      </w:r>
      <w:hyperlink r:id="rId20" w:history="1">
        <w:r w:rsidR="00FD5EAA" w:rsidRPr="007612B6">
          <w:rPr>
            <w:lang w:val="en-GB"/>
          </w:rPr>
          <w:t>http://rev.oxfordjournals.org/content/24/2/131.full</w:t>
        </w:r>
      </w:hyperlink>
    </w:p>
    <w:p w14:paraId="165FA4A0" w14:textId="77777777" w:rsidR="00345C73" w:rsidRPr="004B3D92" w:rsidRDefault="00345C73" w:rsidP="003B2141">
      <w:pPr>
        <w:rPr>
          <w:lang w:val="en-GB"/>
        </w:rPr>
      </w:pPr>
    </w:p>
    <w:p w14:paraId="6E3B3A1B" w14:textId="77777777" w:rsidR="00345C73" w:rsidRPr="00D87086" w:rsidRDefault="00345C73" w:rsidP="003B2141">
      <w:pPr>
        <w:rPr>
          <w:b/>
          <w:color w:val="FF0000"/>
          <w:lang w:val="en-GB"/>
        </w:rPr>
        <w:sectPr w:rsidR="00345C73" w:rsidRPr="00D87086" w:rsidSect="00F51843">
          <w:headerReference w:type="default" r:id="rId21"/>
          <w:footerReference w:type="default" r:id="rId22"/>
          <w:footerReference w:type="first" r:id="rId23"/>
          <w:pgSz w:w="11907" w:h="16839" w:code="9"/>
          <w:pgMar w:top="1440" w:right="1440" w:bottom="1440" w:left="1440" w:header="720" w:footer="720" w:gutter="0"/>
          <w:pgNumType w:start="0"/>
          <w:cols w:space="720"/>
          <w:titlePg/>
          <w:docGrid w:linePitch="360"/>
        </w:sectPr>
      </w:pPr>
    </w:p>
    <w:p w14:paraId="71310F8C" w14:textId="77777777" w:rsidR="003B2141" w:rsidRPr="00D87086" w:rsidRDefault="003B2141" w:rsidP="003B2141">
      <w:pPr>
        <w:pageBreakBefore/>
        <w:rPr>
          <w:lang w:val="en-GB"/>
        </w:rPr>
      </w:pPr>
    </w:p>
    <w:p w14:paraId="022E63E0" w14:textId="77777777" w:rsidR="00EA39B1" w:rsidRPr="00D87086" w:rsidRDefault="00EA39B1" w:rsidP="00EA39B1">
      <w:pPr>
        <w:rPr>
          <w:lang w:val="en-GB"/>
        </w:rPr>
      </w:pPr>
    </w:p>
    <w:p w14:paraId="48BA3F26" w14:textId="77777777" w:rsidR="005C136B" w:rsidRPr="00D87086" w:rsidRDefault="00D91DE6" w:rsidP="005C136B">
      <w:pPr>
        <w:rPr>
          <w:rFonts w:eastAsiaTheme="minorEastAsia" w:cs="Arial"/>
          <w:color w:val="000000" w:themeColor="text1"/>
          <w:kern w:val="24"/>
          <w:sz w:val="24"/>
          <w:szCs w:val="24"/>
          <w:lang w:val="en-GB"/>
        </w:rPr>
      </w:pPr>
      <w:r w:rsidRPr="00607A46">
        <w:rPr>
          <w:rFonts w:eastAsiaTheme="minorEastAsia" w:cs="Arial"/>
          <w:noProof/>
          <w:color w:val="000000" w:themeColor="text1"/>
          <w:kern w:val="24"/>
          <w:sz w:val="24"/>
          <w:szCs w:val="24"/>
          <w:lang w:val="en-GB" w:eastAsia="en-GB"/>
        </w:rPr>
        <mc:AlternateContent>
          <mc:Choice Requires="wpg">
            <w:drawing>
              <wp:anchor distT="0" distB="0" distL="114300" distR="114300" simplePos="0" relativeHeight="251684864" behindDoc="0" locked="0" layoutInCell="1" allowOverlap="1" wp14:anchorId="32426970" wp14:editId="38D3B3E5">
                <wp:simplePos x="0" y="0"/>
                <wp:positionH relativeFrom="column">
                  <wp:posOffset>-1463040</wp:posOffset>
                </wp:positionH>
                <wp:positionV relativeFrom="paragraph">
                  <wp:posOffset>7137400</wp:posOffset>
                </wp:positionV>
                <wp:extent cx="8100060" cy="2262505"/>
                <wp:effectExtent l="0" t="0" r="0" b="309245"/>
                <wp:wrapNone/>
                <wp:docPr id="3" name="Group 3"/>
                <wp:cNvGraphicFramePr/>
                <a:graphic xmlns:a="http://schemas.openxmlformats.org/drawingml/2006/main">
                  <a:graphicData uri="http://schemas.microsoft.com/office/word/2010/wordprocessingGroup">
                    <wpg:wgp>
                      <wpg:cNvGrpSpPr/>
                      <wpg:grpSpPr>
                        <a:xfrm>
                          <a:off x="0" y="0"/>
                          <a:ext cx="8100060" cy="2262505"/>
                          <a:chOff x="19970" y="175283"/>
                          <a:chExt cx="8100410" cy="2263232"/>
                        </a:xfrm>
                      </wpg:grpSpPr>
                      <wps:wsp>
                        <wps:cNvPr id="1" name="Rectangle 4"/>
                        <wps:cNvSpPr/>
                        <wps:spPr>
                          <a:xfrm>
                            <a:off x="553720" y="175283"/>
                            <a:ext cx="7566660" cy="1524193"/>
                          </a:xfrm>
                          <a:prstGeom prst="rect">
                            <a:avLst/>
                          </a:prstGeom>
                          <a:solidFill>
                            <a:srgbClr val="005CA9"/>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 name="Isosceles Triangle 2"/>
                        <wps:cNvSpPr/>
                        <wps:spPr>
                          <a:xfrm rot="20062365">
                            <a:off x="19970" y="898864"/>
                            <a:ext cx="1757325" cy="1539651"/>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115.2pt;margin-top:562pt;width:637.8pt;height:178.15pt;z-index:251684864;mso-width-relative:margin;mso-height-relative:margin" coordorigin="199,1752" coordsize="81004,2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">
                <v:rect id="Rectangle 4" o:spid="_x0000_s1027" style="position:absolute;left:5537;top:1752;width:75666;height:15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RDzL4A&#10;AADaAAAADwAAAGRycy9kb3ducmV2LnhtbERPTUvDQBC9C/6HZYTe7KaCpcRui4iiR5u20OOQHbMh&#10;2dmwO03Tf+8WBE/D433Oejv5Xo0UUxvYwGJegCKug225MXDYfzyuQCVBttgHJgNXSrDd3N+tsbTh&#10;wjsaK2lUDuFUogEnMpRap9qRxzQPA3HmfkL0KBnGRtuIlxzue/1UFEvtseXc4HCgN0d1V529ATrK&#10;exTXVaf0vajPp+dP7EY2ZvYwvb6AEprkX/zn/rJ5PtxeuV29+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10Q8y+AAAA2gAAAA8AAAAAAAAAAAAAAAAAmAIAAGRycy9kb3ducmV2&#10;LnhtbFBLBQYAAAAABAAEAPUAAACDAwAAAAA=&#10;" fillcolor="#005ca9" stroked="f"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8" type="#_x0000_t5" style="position:absolute;left:199;top:8988;width:17573;height:15397;rotation:-167950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jscIA&#10;AADaAAAADwAAAGRycy9kb3ducmV2LnhtbESP0WrCQBRE3wX/YblC33RjIKVEVxGh0EKFGvMBl+x1&#10;E83eDdk1Sf/eLRT6OMzMGWa7n2wrBup941jBepWAIK6cbtgoKC/vyzcQPiBrbB2Tgh/ysN/NZ1vM&#10;tRv5TEMRjIgQ9jkqqEPocil9VZNFv3IdcfSurrcYouyN1D2OEW5bmSbJq7TYcFyosaNjTdW9eFgF&#10;zfctW5trcX6csqI9lJ/yy5BU6mUxHTYgAk3hP/zX/tAKUvi9Em+A3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D6OxwgAAANoAAAAPAAAAAAAAAAAAAAAAAJgCAABkcnMvZG93&#10;bnJldi54bWxQSwUGAAAAAAQABAD1AAAAhwMAAAAA&#10;" fillcolor="white [3212]" stroked="f" strokeweight="2pt"/>
              </v:group>
            </w:pict>
          </mc:Fallback>
        </mc:AlternateContent>
      </w:r>
      <w:r w:rsidR="00CE6DB2" w:rsidRPr="00607A46">
        <w:rPr>
          <w:noProof/>
          <w:lang w:val="en-GB" w:eastAsia="en-GB"/>
        </w:rPr>
        <mc:AlternateContent>
          <mc:Choice Requires="wps">
            <w:drawing>
              <wp:anchor distT="0" distB="0" distL="114300" distR="114300" simplePos="0" relativeHeight="251688960" behindDoc="0" locked="0" layoutInCell="1" allowOverlap="1" wp14:anchorId="2CA9399A" wp14:editId="73138183">
                <wp:simplePos x="0" y="0"/>
                <wp:positionH relativeFrom="column">
                  <wp:posOffset>457200</wp:posOffset>
                </wp:positionH>
                <wp:positionV relativeFrom="margin">
                  <wp:posOffset>8000999</wp:posOffset>
                </wp:positionV>
                <wp:extent cx="6141720" cy="1287483"/>
                <wp:effectExtent l="0" t="0" r="0" b="0"/>
                <wp:wrapNone/>
                <wp:docPr id="10" name="TextBox 1"/>
                <wp:cNvGraphicFramePr/>
                <a:graphic xmlns:a="http://schemas.openxmlformats.org/drawingml/2006/main">
                  <a:graphicData uri="http://schemas.microsoft.com/office/word/2010/wordprocessingShape">
                    <wps:wsp>
                      <wps:cNvSpPr txBox="1"/>
                      <wps:spPr>
                        <a:xfrm>
                          <a:off x="0" y="0"/>
                          <a:ext cx="6141720" cy="1287483"/>
                        </a:xfrm>
                        <a:prstGeom prst="rect">
                          <a:avLst/>
                        </a:prstGeom>
                        <a:noFill/>
                      </wps:spPr>
                      <wps:txbx>
                        <w:txbxContent>
                          <w:p w14:paraId="75297A1F" w14:textId="77777777" w:rsidR="00F852C8" w:rsidRPr="00900610" w:rsidRDefault="00F852C8" w:rsidP="00900610">
                            <w:pPr>
                              <w:pStyle w:val="NormalWeb"/>
                              <w:spacing w:before="0" w:beforeAutospacing="0" w:after="0" w:afterAutospacing="0" w:line="276" w:lineRule="auto"/>
                              <w:jc w:val="right"/>
                              <w:textAlignment w:val="baseline"/>
                              <w:rPr>
                                <w:rFonts w:ascii="Trebuchet MS" w:hAnsi="Trebuchet MS" w:cs="Arial"/>
                                <w:color w:val="FFFFFF" w:themeColor="background1"/>
                                <w:kern w:val="24"/>
                                <w:sz w:val="28"/>
                                <w:szCs w:val="28"/>
                                <w:lang w:val="en-GB"/>
                              </w:rPr>
                            </w:pPr>
                            <w:r>
                              <w:rPr>
                                <w:rFonts w:ascii="Trebuchet MS" w:hAnsi="Trebuchet MS" w:cs="Arial"/>
                                <w:color w:val="FFFFFF" w:themeColor="background1"/>
                                <w:kern w:val="24"/>
                                <w:sz w:val="28"/>
                                <w:szCs w:val="28"/>
                                <w:lang w:val="en-GB"/>
                              </w:rPr>
                              <w:t xml:space="preserve">Scientific Institute </w:t>
                            </w:r>
                            <w:r w:rsidRPr="00900610">
                              <w:rPr>
                                <w:rFonts w:ascii="Trebuchet MS" w:hAnsi="Trebuchet MS" w:cs="Arial"/>
                                <w:color w:val="FFFFFF" w:themeColor="background1"/>
                                <w:kern w:val="24"/>
                                <w:sz w:val="28"/>
                                <w:szCs w:val="28"/>
                                <w:lang w:val="en-GB"/>
                              </w:rPr>
                              <w:t xml:space="preserve">of Public Health | Rue Juliette </w:t>
                            </w:r>
                            <w:proofErr w:type="spellStart"/>
                            <w:r w:rsidRPr="00900610">
                              <w:rPr>
                                <w:rFonts w:ascii="Trebuchet MS" w:hAnsi="Trebuchet MS" w:cs="Arial"/>
                                <w:color w:val="FFFFFF" w:themeColor="background1"/>
                                <w:kern w:val="24"/>
                                <w:sz w:val="28"/>
                                <w:szCs w:val="28"/>
                                <w:lang w:val="en-GB"/>
                              </w:rPr>
                              <w:t>Wytsmanstraat</w:t>
                            </w:r>
                            <w:proofErr w:type="spellEnd"/>
                            <w:r w:rsidRPr="00900610">
                              <w:rPr>
                                <w:rFonts w:ascii="Trebuchet MS" w:hAnsi="Trebuchet MS" w:cs="Arial"/>
                                <w:color w:val="FFFFFF" w:themeColor="background1"/>
                                <w:kern w:val="24"/>
                                <w:sz w:val="28"/>
                                <w:szCs w:val="28"/>
                                <w:lang w:val="en-GB"/>
                              </w:rPr>
                              <w:t xml:space="preserve"> 14 |</w:t>
                            </w:r>
                          </w:p>
                          <w:p w14:paraId="533EF537" w14:textId="77777777" w:rsidR="00F852C8" w:rsidRPr="00900610" w:rsidRDefault="00F852C8" w:rsidP="00900610">
                            <w:pPr>
                              <w:pStyle w:val="NormalWeb"/>
                              <w:spacing w:before="0" w:beforeAutospacing="0" w:after="0" w:afterAutospacing="0" w:line="276" w:lineRule="auto"/>
                              <w:jc w:val="right"/>
                              <w:textAlignment w:val="baseline"/>
                              <w:rPr>
                                <w:rFonts w:ascii="Trebuchet MS" w:hAnsi="Trebuchet MS" w:cs="Arial"/>
                                <w:color w:val="FFFFFF" w:themeColor="background1"/>
                                <w:kern w:val="24"/>
                                <w:sz w:val="28"/>
                                <w:szCs w:val="28"/>
                                <w:lang w:val="fr-FR"/>
                              </w:rPr>
                            </w:pPr>
                            <w:r w:rsidRPr="00900610">
                              <w:rPr>
                                <w:rFonts w:ascii="Trebuchet MS" w:hAnsi="Trebuchet MS" w:cs="Arial"/>
                                <w:color w:val="FFFFFF" w:themeColor="background1"/>
                                <w:kern w:val="24"/>
                                <w:sz w:val="28"/>
                                <w:szCs w:val="28"/>
                                <w:lang w:val="fr-FR"/>
                              </w:rPr>
                              <w:t xml:space="preserve">1050 Brussels | </w:t>
                            </w:r>
                            <w:proofErr w:type="spellStart"/>
                            <w:r w:rsidRPr="00900610">
                              <w:rPr>
                                <w:rFonts w:ascii="Trebuchet MS" w:hAnsi="Trebuchet MS" w:cs="Arial"/>
                                <w:color w:val="FFFFFF" w:themeColor="background1"/>
                                <w:kern w:val="24"/>
                                <w:sz w:val="28"/>
                                <w:szCs w:val="28"/>
                                <w:lang w:val="fr-FR"/>
                              </w:rPr>
                              <w:t>Belgium</w:t>
                            </w:r>
                            <w:proofErr w:type="spellEnd"/>
                            <w:r w:rsidRPr="00900610">
                              <w:rPr>
                                <w:rFonts w:ascii="Trebuchet MS" w:hAnsi="Trebuchet MS" w:cs="Arial"/>
                                <w:color w:val="FFFFFF" w:themeColor="background1"/>
                                <w:kern w:val="24"/>
                                <w:sz w:val="28"/>
                                <w:szCs w:val="28"/>
                                <w:lang w:val="fr-FR"/>
                              </w:rPr>
                              <w:t>| e-mail: bridge.coordination@wiv-isp.be|</w:t>
                            </w:r>
                          </w:p>
                          <w:p w14:paraId="315225DC" w14:textId="77777777" w:rsidR="00F852C8" w:rsidRDefault="00F852C8" w:rsidP="00900610">
                            <w:pPr>
                              <w:pStyle w:val="NormalWeb"/>
                              <w:spacing w:before="0" w:beforeAutospacing="0" w:after="0" w:afterAutospacing="0" w:line="276" w:lineRule="auto"/>
                              <w:jc w:val="right"/>
                              <w:textAlignment w:val="baseline"/>
                              <w:rPr>
                                <w:rFonts w:ascii="Trebuchet MS" w:hAnsi="Trebuchet MS" w:cs="Arial"/>
                                <w:color w:val="FFFFFF" w:themeColor="background1"/>
                                <w:kern w:val="24"/>
                                <w:sz w:val="28"/>
                                <w:szCs w:val="28"/>
                                <w:lang w:val="nl-NL"/>
                              </w:rPr>
                            </w:pPr>
                            <w:r w:rsidRPr="00900610">
                              <w:rPr>
                                <w:rFonts w:ascii="Trebuchet MS" w:hAnsi="Trebuchet MS" w:cs="Arial"/>
                                <w:color w:val="FFFFFF" w:themeColor="background1"/>
                                <w:kern w:val="24"/>
                                <w:sz w:val="28"/>
                                <w:szCs w:val="28"/>
                                <w:lang w:val="nl-NL"/>
                              </w:rPr>
                              <w:t xml:space="preserve">Website: </w:t>
                            </w:r>
                            <w:r>
                              <w:fldChar w:fldCharType="begin"/>
                            </w:r>
                            <w:r w:rsidRPr="00F852C8">
                              <w:rPr>
                                <w:lang w:val="nl-BE"/>
                              </w:rPr>
                              <w:instrText xml:space="preserve"> HYPERLINK "http://www.bridge-health.eu" </w:instrText>
                            </w:r>
                            <w:r>
                              <w:fldChar w:fldCharType="separate"/>
                            </w:r>
                            <w:r w:rsidRPr="00900610">
                              <w:rPr>
                                <w:rStyle w:val="Hyperlink"/>
                                <w:rFonts w:ascii="Trebuchet MS" w:hAnsi="Trebuchet MS" w:cs="Arial"/>
                                <w:bCs/>
                                <w:color w:val="FFFFFF" w:themeColor="background1"/>
                                <w:kern w:val="24"/>
                                <w:sz w:val="28"/>
                                <w:szCs w:val="28"/>
                                <w:u w:val="none"/>
                                <w:lang w:val="nl-NL"/>
                              </w:rPr>
                              <w:t>www.bridge-health.eu</w:t>
                            </w:r>
                            <w:r>
                              <w:rPr>
                                <w:rStyle w:val="Hyperlink"/>
                                <w:rFonts w:ascii="Trebuchet MS" w:hAnsi="Trebuchet MS" w:cs="Arial"/>
                                <w:bCs/>
                                <w:color w:val="FFFFFF" w:themeColor="background1"/>
                                <w:kern w:val="24"/>
                                <w:sz w:val="28"/>
                                <w:szCs w:val="28"/>
                                <w:u w:val="none"/>
                                <w:lang w:val="nl-NL"/>
                              </w:rPr>
                              <w:fldChar w:fldCharType="end"/>
                            </w:r>
                            <w:r w:rsidRPr="00900610">
                              <w:rPr>
                                <w:rFonts w:ascii="Trebuchet MS" w:hAnsi="Trebuchet MS" w:cs="Arial"/>
                                <w:color w:val="FFFFFF" w:themeColor="background1"/>
                                <w:kern w:val="24"/>
                                <w:sz w:val="28"/>
                                <w:szCs w:val="28"/>
                                <w:lang w:val="nl-NL"/>
                              </w:rPr>
                              <w:t>|Twitter: @</w:t>
                            </w:r>
                            <w:proofErr w:type="spellStart"/>
                            <w:r w:rsidRPr="00900610">
                              <w:rPr>
                                <w:rFonts w:ascii="Trebuchet MS" w:hAnsi="Trebuchet MS" w:cs="Arial"/>
                                <w:color w:val="FFFFFF" w:themeColor="background1"/>
                                <w:kern w:val="24"/>
                                <w:sz w:val="28"/>
                                <w:szCs w:val="28"/>
                                <w:lang w:val="nl-NL"/>
                              </w:rPr>
                              <w:t>bridge_health</w:t>
                            </w:r>
                            <w:proofErr w:type="spellEnd"/>
                          </w:p>
                          <w:p w14:paraId="37832B76" w14:textId="77777777" w:rsidR="00F852C8" w:rsidRDefault="00F852C8" w:rsidP="00900610">
                            <w:pPr>
                              <w:pStyle w:val="NormalWeb"/>
                              <w:spacing w:before="0" w:beforeAutospacing="0" w:after="0" w:afterAutospacing="0" w:line="276" w:lineRule="auto"/>
                              <w:jc w:val="right"/>
                              <w:textAlignment w:val="baseline"/>
                              <w:rPr>
                                <w:rFonts w:ascii="Trebuchet MS" w:hAnsi="Trebuchet MS" w:cs="Arial"/>
                                <w:color w:val="FFFFFF" w:themeColor="background1"/>
                                <w:kern w:val="24"/>
                                <w:sz w:val="28"/>
                                <w:szCs w:val="28"/>
                                <w:lang w:val="nl-NL"/>
                              </w:rPr>
                            </w:pPr>
                          </w:p>
                          <w:p w14:paraId="3E270CBC" w14:textId="77777777" w:rsidR="00F852C8" w:rsidRPr="00CE6DB2" w:rsidRDefault="00F852C8" w:rsidP="00900610">
                            <w:pPr>
                              <w:pStyle w:val="NormalWeb"/>
                              <w:spacing w:before="0" w:beforeAutospacing="0" w:after="0" w:afterAutospacing="0" w:line="276" w:lineRule="auto"/>
                              <w:jc w:val="right"/>
                              <w:textAlignment w:val="baseline"/>
                              <w:rPr>
                                <w:rFonts w:ascii="Trebuchet MS" w:hAnsi="Trebuchet MS" w:cs="Arial"/>
                                <w:color w:val="FFFFFF" w:themeColor="background1"/>
                                <w:kern w:val="24"/>
                                <w:sz w:val="28"/>
                                <w:szCs w:val="28"/>
                                <w:lang w:val="nl-NL"/>
                              </w:rPr>
                            </w:pPr>
                            <w:r w:rsidRPr="00CE6DB2">
                              <w:rPr>
                                <w:rFonts w:ascii="Trebuchet MS" w:hAnsi="Trebuchet MS"/>
                                <w:color w:val="FFFFFF" w:themeColor="background1"/>
                                <w:lang w:val="nl-BE"/>
                              </w:rPr>
                              <w:t xml:space="preserve">© </w:t>
                            </w:r>
                            <w:proofErr w:type="gramStart"/>
                            <w:r w:rsidRPr="00CE6DB2">
                              <w:rPr>
                                <w:rFonts w:ascii="Trebuchet MS" w:hAnsi="Trebuchet MS"/>
                                <w:color w:val="FFFFFF" w:themeColor="background1"/>
                                <w:lang w:val="nl-BE"/>
                              </w:rPr>
                              <w:t>201</w:t>
                            </w:r>
                            <w:r>
                              <w:rPr>
                                <w:rFonts w:ascii="Trebuchet MS" w:hAnsi="Trebuchet MS"/>
                                <w:color w:val="FFFFFF" w:themeColor="background1"/>
                                <w:lang w:val="nl-BE"/>
                              </w:rPr>
                              <w:t>6</w:t>
                            </w:r>
                            <w:r w:rsidRPr="00ED69B5">
                              <w:rPr>
                                <w:rFonts w:ascii="Trebuchet MS" w:hAnsi="Trebuchet MS"/>
                                <w:color w:val="000000" w:themeColor="text1"/>
                                <w:shd w:val="clear" w:color="auto" w:fill="FFFF00"/>
                                <w:lang w:val="nl-BE"/>
                              </w:rPr>
                              <w:t xml:space="preserve"> </w:t>
                            </w:r>
                            <w:r>
                              <w:rPr>
                                <w:rFonts w:ascii="Trebuchet MS" w:hAnsi="Trebuchet MS"/>
                                <w:color w:val="FFFFFF" w:themeColor="background1"/>
                                <w:lang w:val="nl-BE"/>
                              </w:rPr>
                              <w:t xml:space="preserve"> </w:t>
                            </w:r>
                            <w:proofErr w:type="gramEnd"/>
                          </w:p>
                          <w:p w14:paraId="7B204AFB" w14:textId="77777777" w:rsidR="00F852C8" w:rsidRPr="00900610" w:rsidRDefault="00F852C8" w:rsidP="00900610">
                            <w:pPr>
                              <w:pStyle w:val="NormalWeb"/>
                              <w:spacing w:before="0" w:beforeAutospacing="0" w:after="0" w:afterAutospacing="0" w:line="276" w:lineRule="auto"/>
                              <w:jc w:val="right"/>
                              <w:textAlignment w:val="baseline"/>
                              <w:rPr>
                                <w:rFonts w:ascii="Trebuchet MS" w:hAnsi="Trebuchet MS"/>
                                <w:color w:val="FFFFFF" w:themeColor="background1"/>
                                <w:sz w:val="28"/>
                                <w:szCs w:val="28"/>
                                <w:lang w:val="nl-NL"/>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6pt;margin-top:630pt;width:483.6pt;height:10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" filled="f" stroked="f">
                <v:textbox>
                  <w:txbxContent>
                    <w:p w14:paraId="75297A1F" w14:textId="77777777" w:rsidR="00427A7C" w:rsidRPr="00900610" w:rsidRDefault="00427A7C" w:rsidP="00900610">
                      <w:pPr>
                        <w:pStyle w:val="NormalWeb"/>
                        <w:spacing w:before="0" w:beforeAutospacing="0" w:after="0" w:afterAutospacing="0" w:line="276" w:lineRule="auto"/>
                        <w:jc w:val="right"/>
                        <w:textAlignment w:val="baseline"/>
                        <w:rPr>
                          <w:rFonts w:ascii="Trebuchet MS" w:hAnsi="Trebuchet MS" w:cs="Arial"/>
                          <w:color w:val="FFFFFF" w:themeColor="background1"/>
                          <w:kern w:val="24"/>
                          <w:sz w:val="28"/>
                          <w:szCs w:val="28"/>
                          <w:lang w:val="en-GB"/>
                        </w:rPr>
                      </w:pPr>
                      <w:r>
                        <w:rPr>
                          <w:rFonts w:ascii="Trebuchet MS" w:hAnsi="Trebuchet MS" w:cs="Arial"/>
                          <w:color w:val="FFFFFF" w:themeColor="background1"/>
                          <w:kern w:val="24"/>
                          <w:sz w:val="28"/>
                          <w:szCs w:val="28"/>
                          <w:lang w:val="en-GB"/>
                        </w:rPr>
                        <w:t xml:space="preserve">Scientific Institute </w:t>
                      </w:r>
                      <w:r w:rsidRPr="00900610">
                        <w:rPr>
                          <w:rFonts w:ascii="Trebuchet MS" w:hAnsi="Trebuchet MS" w:cs="Arial"/>
                          <w:color w:val="FFFFFF" w:themeColor="background1"/>
                          <w:kern w:val="24"/>
                          <w:sz w:val="28"/>
                          <w:szCs w:val="28"/>
                          <w:lang w:val="en-GB"/>
                        </w:rPr>
                        <w:t xml:space="preserve">of Public Health | Rue Juliette </w:t>
                      </w:r>
                      <w:proofErr w:type="spellStart"/>
                      <w:r w:rsidRPr="00900610">
                        <w:rPr>
                          <w:rFonts w:ascii="Trebuchet MS" w:hAnsi="Trebuchet MS" w:cs="Arial"/>
                          <w:color w:val="FFFFFF" w:themeColor="background1"/>
                          <w:kern w:val="24"/>
                          <w:sz w:val="28"/>
                          <w:szCs w:val="28"/>
                          <w:lang w:val="en-GB"/>
                        </w:rPr>
                        <w:t>Wytsmanstraat</w:t>
                      </w:r>
                      <w:proofErr w:type="spellEnd"/>
                      <w:r w:rsidRPr="00900610">
                        <w:rPr>
                          <w:rFonts w:ascii="Trebuchet MS" w:hAnsi="Trebuchet MS" w:cs="Arial"/>
                          <w:color w:val="FFFFFF" w:themeColor="background1"/>
                          <w:kern w:val="24"/>
                          <w:sz w:val="28"/>
                          <w:szCs w:val="28"/>
                          <w:lang w:val="en-GB"/>
                        </w:rPr>
                        <w:t xml:space="preserve"> 14 |</w:t>
                      </w:r>
                    </w:p>
                    <w:p w14:paraId="533EF537" w14:textId="77777777" w:rsidR="00427A7C" w:rsidRPr="00900610" w:rsidRDefault="00427A7C" w:rsidP="00900610">
                      <w:pPr>
                        <w:pStyle w:val="NormalWeb"/>
                        <w:spacing w:before="0" w:beforeAutospacing="0" w:after="0" w:afterAutospacing="0" w:line="276" w:lineRule="auto"/>
                        <w:jc w:val="right"/>
                        <w:textAlignment w:val="baseline"/>
                        <w:rPr>
                          <w:rFonts w:ascii="Trebuchet MS" w:hAnsi="Trebuchet MS" w:cs="Arial"/>
                          <w:color w:val="FFFFFF" w:themeColor="background1"/>
                          <w:kern w:val="24"/>
                          <w:sz w:val="28"/>
                          <w:szCs w:val="28"/>
                          <w:lang w:val="fr-FR"/>
                        </w:rPr>
                      </w:pPr>
                      <w:r w:rsidRPr="00900610">
                        <w:rPr>
                          <w:rFonts w:ascii="Trebuchet MS" w:hAnsi="Trebuchet MS" w:cs="Arial"/>
                          <w:color w:val="FFFFFF" w:themeColor="background1"/>
                          <w:kern w:val="24"/>
                          <w:sz w:val="28"/>
                          <w:szCs w:val="28"/>
                          <w:lang w:val="fr-FR"/>
                        </w:rPr>
                        <w:t xml:space="preserve">1050 Brussels | </w:t>
                      </w:r>
                      <w:proofErr w:type="spellStart"/>
                      <w:r w:rsidRPr="00900610">
                        <w:rPr>
                          <w:rFonts w:ascii="Trebuchet MS" w:hAnsi="Trebuchet MS" w:cs="Arial"/>
                          <w:color w:val="FFFFFF" w:themeColor="background1"/>
                          <w:kern w:val="24"/>
                          <w:sz w:val="28"/>
                          <w:szCs w:val="28"/>
                          <w:lang w:val="fr-FR"/>
                        </w:rPr>
                        <w:t>Belgium</w:t>
                      </w:r>
                      <w:proofErr w:type="spellEnd"/>
                      <w:r w:rsidRPr="00900610">
                        <w:rPr>
                          <w:rFonts w:ascii="Trebuchet MS" w:hAnsi="Trebuchet MS" w:cs="Arial"/>
                          <w:color w:val="FFFFFF" w:themeColor="background1"/>
                          <w:kern w:val="24"/>
                          <w:sz w:val="28"/>
                          <w:szCs w:val="28"/>
                          <w:lang w:val="fr-FR"/>
                        </w:rPr>
                        <w:t>| e-mail: bridge.coordination@wiv-isp.be|</w:t>
                      </w:r>
                    </w:p>
                    <w:p w14:paraId="315225DC" w14:textId="77777777" w:rsidR="00427A7C" w:rsidRDefault="00427A7C" w:rsidP="00900610">
                      <w:pPr>
                        <w:pStyle w:val="NormalWeb"/>
                        <w:spacing w:before="0" w:beforeAutospacing="0" w:after="0" w:afterAutospacing="0" w:line="276" w:lineRule="auto"/>
                        <w:jc w:val="right"/>
                        <w:textAlignment w:val="baseline"/>
                        <w:rPr>
                          <w:rFonts w:ascii="Trebuchet MS" w:hAnsi="Trebuchet MS" w:cs="Arial"/>
                          <w:color w:val="FFFFFF" w:themeColor="background1"/>
                          <w:kern w:val="24"/>
                          <w:sz w:val="28"/>
                          <w:szCs w:val="28"/>
                          <w:lang w:val="nl-NL"/>
                        </w:rPr>
                      </w:pPr>
                      <w:r w:rsidRPr="00900610">
                        <w:rPr>
                          <w:rFonts w:ascii="Trebuchet MS" w:hAnsi="Trebuchet MS" w:cs="Arial"/>
                          <w:color w:val="FFFFFF" w:themeColor="background1"/>
                          <w:kern w:val="24"/>
                          <w:sz w:val="28"/>
                          <w:szCs w:val="28"/>
                          <w:lang w:val="nl-NL"/>
                        </w:rPr>
                        <w:t xml:space="preserve">Website: </w:t>
                      </w:r>
                      <w:hyperlink r:id="rId25" w:history="1">
                        <w:r w:rsidRPr="00900610">
                          <w:rPr>
                            <w:rStyle w:val="Hyperlink"/>
                            <w:rFonts w:ascii="Trebuchet MS" w:hAnsi="Trebuchet MS" w:cs="Arial"/>
                            <w:bCs/>
                            <w:color w:val="FFFFFF" w:themeColor="background1"/>
                            <w:kern w:val="24"/>
                            <w:sz w:val="28"/>
                            <w:szCs w:val="28"/>
                            <w:u w:val="none"/>
                            <w:lang w:val="nl-NL"/>
                          </w:rPr>
                          <w:t>www.bridge-health.eu</w:t>
                        </w:r>
                      </w:hyperlink>
                      <w:r w:rsidRPr="00900610">
                        <w:rPr>
                          <w:rFonts w:ascii="Trebuchet MS" w:hAnsi="Trebuchet MS" w:cs="Arial"/>
                          <w:color w:val="FFFFFF" w:themeColor="background1"/>
                          <w:kern w:val="24"/>
                          <w:sz w:val="28"/>
                          <w:szCs w:val="28"/>
                          <w:lang w:val="nl-NL"/>
                        </w:rPr>
                        <w:t>|</w:t>
                      </w:r>
                      <w:proofErr w:type="spellStart"/>
                      <w:r w:rsidRPr="00900610">
                        <w:rPr>
                          <w:rFonts w:ascii="Trebuchet MS" w:hAnsi="Trebuchet MS" w:cs="Arial"/>
                          <w:color w:val="FFFFFF" w:themeColor="background1"/>
                          <w:kern w:val="24"/>
                          <w:sz w:val="28"/>
                          <w:szCs w:val="28"/>
                          <w:lang w:val="nl-NL"/>
                        </w:rPr>
                        <w:t>Twitter</w:t>
                      </w:r>
                      <w:proofErr w:type="spellEnd"/>
                      <w:r w:rsidRPr="00900610">
                        <w:rPr>
                          <w:rFonts w:ascii="Trebuchet MS" w:hAnsi="Trebuchet MS" w:cs="Arial"/>
                          <w:color w:val="FFFFFF" w:themeColor="background1"/>
                          <w:kern w:val="24"/>
                          <w:sz w:val="28"/>
                          <w:szCs w:val="28"/>
                          <w:lang w:val="nl-NL"/>
                        </w:rPr>
                        <w:t>: @</w:t>
                      </w:r>
                      <w:proofErr w:type="spellStart"/>
                      <w:r w:rsidRPr="00900610">
                        <w:rPr>
                          <w:rFonts w:ascii="Trebuchet MS" w:hAnsi="Trebuchet MS" w:cs="Arial"/>
                          <w:color w:val="FFFFFF" w:themeColor="background1"/>
                          <w:kern w:val="24"/>
                          <w:sz w:val="28"/>
                          <w:szCs w:val="28"/>
                          <w:lang w:val="nl-NL"/>
                        </w:rPr>
                        <w:t>bridge_health</w:t>
                      </w:r>
                      <w:proofErr w:type="spellEnd"/>
                    </w:p>
                    <w:p w14:paraId="37832B76" w14:textId="77777777" w:rsidR="00427A7C" w:rsidRDefault="00427A7C" w:rsidP="00900610">
                      <w:pPr>
                        <w:pStyle w:val="NormalWeb"/>
                        <w:spacing w:before="0" w:beforeAutospacing="0" w:after="0" w:afterAutospacing="0" w:line="276" w:lineRule="auto"/>
                        <w:jc w:val="right"/>
                        <w:textAlignment w:val="baseline"/>
                        <w:rPr>
                          <w:rFonts w:ascii="Trebuchet MS" w:hAnsi="Trebuchet MS" w:cs="Arial"/>
                          <w:color w:val="FFFFFF" w:themeColor="background1"/>
                          <w:kern w:val="24"/>
                          <w:sz w:val="28"/>
                          <w:szCs w:val="28"/>
                          <w:lang w:val="nl-NL"/>
                        </w:rPr>
                      </w:pPr>
                    </w:p>
                    <w:p w14:paraId="3E270CBC" w14:textId="77777777" w:rsidR="00427A7C" w:rsidRPr="00CE6DB2" w:rsidRDefault="00427A7C" w:rsidP="00900610">
                      <w:pPr>
                        <w:pStyle w:val="NormalWeb"/>
                        <w:spacing w:before="0" w:beforeAutospacing="0" w:after="0" w:afterAutospacing="0" w:line="276" w:lineRule="auto"/>
                        <w:jc w:val="right"/>
                        <w:textAlignment w:val="baseline"/>
                        <w:rPr>
                          <w:rFonts w:ascii="Trebuchet MS" w:hAnsi="Trebuchet MS" w:cs="Arial"/>
                          <w:color w:val="FFFFFF" w:themeColor="background1"/>
                          <w:kern w:val="24"/>
                          <w:sz w:val="28"/>
                          <w:szCs w:val="28"/>
                          <w:lang w:val="nl-NL"/>
                        </w:rPr>
                      </w:pPr>
                      <w:r w:rsidRPr="00CE6DB2">
                        <w:rPr>
                          <w:rFonts w:ascii="Trebuchet MS" w:hAnsi="Trebuchet MS"/>
                          <w:color w:val="FFFFFF" w:themeColor="background1"/>
                          <w:lang w:val="nl-BE"/>
                        </w:rPr>
                        <w:t xml:space="preserve">© </w:t>
                      </w:r>
                      <w:proofErr w:type="gramStart"/>
                      <w:r w:rsidRPr="00CE6DB2">
                        <w:rPr>
                          <w:rFonts w:ascii="Trebuchet MS" w:hAnsi="Trebuchet MS"/>
                          <w:color w:val="FFFFFF" w:themeColor="background1"/>
                          <w:lang w:val="nl-BE"/>
                        </w:rPr>
                        <w:t>201</w:t>
                      </w:r>
                      <w:r>
                        <w:rPr>
                          <w:rFonts w:ascii="Trebuchet MS" w:hAnsi="Trebuchet MS"/>
                          <w:color w:val="FFFFFF" w:themeColor="background1"/>
                          <w:lang w:val="nl-BE"/>
                        </w:rPr>
                        <w:t>6</w:t>
                      </w:r>
                      <w:r w:rsidRPr="00ED69B5">
                        <w:rPr>
                          <w:rFonts w:ascii="Trebuchet MS" w:hAnsi="Trebuchet MS"/>
                          <w:color w:val="000000" w:themeColor="text1"/>
                          <w:shd w:val="clear" w:color="auto" w:fill="FFFF00"/>
                          <w:lang w:val="nl-BE"/>
                        </w:rPr>
                        <w:t xml:space="preserve"> </w:t>
                      </w:r>
                      <w:r>
                        <w:rPr>
                          <w:rFonts w:ascii="Trebuchet MS" w:hAnsi="Trebuchet MS"/>
                          <w:color w:val="FFFFFF" w:themeColor="background1"/>
                          <w:lang w:val="nl-BE"/>
                        </w:rPr>
                        <w:t xml:space="preserve"> </w:t>
                      </w:r>
                      <w:proofErr w:type="gramEnd"/>
                    </w:p>
                    <w:p w14:paraId="7B204AFB" w14:textId="77777777" w:rsidR="00427A7C" w:rsidRPr="00900610" w:rsidRDefault="00427A7C" w:rsidP="00900610">
                      <w:pPr>
                        <w:pStyle w:val="NormalWeb"/>
                        <w:spacing w:before="0" w:beforeAutospacing="0" w:after="0" w:afterAutospacing="0" w:line="276" w:lineRule="auto"/>
                        <w:jc w:val="right"/>
                        <w:textAlignment w:val="baseline"/>
                        <w:rPr>
                          <w:rFonts w:ascii="Trebuchet MS" w:hAnsi="Trebuchet MS"/>
                          <w:color w:val="FFFFFF" w:themeColor="background1"/>
                          <w:sz w:val="28"/>
                          <w:szCs w:val="28"/>
                          <w:lang w:val="nl-NL"/>
                        </w:rPr>
                      </w:pPr>
                    </w:p>
                  </w:txbxContent>
                </v:textbox>
                <w10:wrap anchory="margin"/>
              </v:shape>
            </w:pict>
          </mc:Fallback>
        </mc:AlternateContent>
      </w:r>
    </w:p>
    <w:sectPr w:rsidR="005C136B" w:rsidRPr="00D87086" w:rsidSect="00F51843">
      <w:pgSz w:w="11907" w:h="16839" w:code="9"/>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A64775" w15:done="0"/>
  <w15:commentEx w15:paraId="67F56F9A" w15:done="0"/>
  <w15:commentEx w15:paraId="58B8054E" w15:done="0"/>
  <w15:commentEx w15:paraId="50E2FAB5" w15:done="0"/>
  <w15:commentEx w15:paraId="011EA3AF" w15:done="0"/>
  <w15:commentEx w15:paraId="51BA0B54" w15:done="0"/>
  <w15:commentEx w15:paraId="6A0A2A9E" w15:done="0"/>
  <w15:commentEx w15:paraId="4AC53E96" w15:done="0"/>
  <w15:commentEx w15:paraId="1711DDBE" w15:done="0"/>
  <w15:commentEx w15:paraId="45952B39" w15:done="0"/>
  <w15:commentEx w15:paraId="7312A51A" w15:done="0"/>
  <w15:commentEx w15:paraId="5EE8F0D0" w15:done="0"/>
  <w15:commentEx w15:paraId="5EF2287E" w15:done="0"/>
  <w15:commentEx w15:paraId="0496F197" w15:done="0"/>
  <w15:commentEx w15:paraId="66C05B32" w15:done="0"/>
  <w15:commentEx w15:paraId="7FDF04E4" w15:done="0"/>
  <w15:commentEx w15:paraId="0C961604" w15:done="0"/>
  <w15:commentEx w15:paraId="3E839E10" w15:done="0"/>
  <w15:commentEx w15:paraId="447B8126" w15:done="0"/>
  <w15:commentEx w15:paraId="53A688B4" w15:done="0"/>
  <w15:commentEx w15:paraId="0E22BEDB" w15:done="0"/>
  <w15:commentEx w15:paraId="115ABF07" w15:done="0"/>
  <w15:commentEx w15:paraId="4085975A" w15:done="0"/>
  <w15:commentEx w15:paraId="023EA76F" w15:paraIdParent="4085975A" w15:done="0"/>
  <w15:commentEx w15:paraId="600C33DB" w15:done="0"/>
  <w15:commentEx w15:paraId="3CC72A63" w15:done="0"/>
  <w15:commentEx w15:paraId="24F8630F" w15:done="0"/>
  <w15:commentEx w15:paraId="5B00A229" w15:done="0"/>
  <w15:commentEx w15:paraId="428076F1" w15:done="0"/>
  <w15:commentEx w15:paraId="14E0335D" w15:done="0"/>
  <w15:commentEx w15:paraId="7C8B2A4C" w15:done="0"/>
  <w15:commentEx w15:paraId="157E5AD8" w15:done="0"/>
  <w15:commentEx w15:paraId="530E1A11" w15:done="0"/>
  <w15:commentEx w15:paraId="49350FD6" w15:done="0"/>
  <w15:commentEx w15:paraId="1D951E01" w15:done="0"/>
  <w15:commentEx w15:paraId="5677AACA" w15:done="0"/>
  <w15:commentEx w15:paraId="19EF8173" w15:done="0"/>
  <w15:commentEx w15:paraId="758686EF" w15:done="0"/>
  <w15:commentEx w15:paraId="1C03F93A" w15:done="0"/>
  <w15:commentEx w15:paraId="39B1B7BF" w15:done="0"/>
  <w15:commentEx w15:paraId="5C06E001" w15:done="0"/>
  <w15:commentEx w15:paraId="41746CC1" w15:done="0"/>
  <w15:commentEx w15:paraId="66CAF1BB" w15:done="0"/>
  <w15:commentEx w15:paraId="324018B9" w15:done="0"/>
  <w15:commentEx w15:paraId="00C8E9ED" w15:done="0"/>
  <w15:commentEx w15:paraId="5B9A03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636DC" w14:textId="77777777" w:rsidR="00F852C8" w:rsidRDefault="00F852C8" w:rsidP="00620995">
      <w:pPr>
        <w:spacing w:after="0" w:line="240" w:lineRule="auto"/>
      </w:pPr>
      <w:r>
        <w:separator/>
      </w:r>
    </w:p>
  </w:endnote>
  <w:endnote w:type="continuationSeparator" w:id="0">
    <w:p w14:paraId="5E080FB0" w14:textId="77777777" w:rsidR="00F852C8" w:rsidRDefault="00F852C8" w:rsidP="00620995">
      <w:pPr>
        <w:spacing w:after="0" w:line="240" w:lineRule="auto"/>
      </w:pPr>
      <w:r>
        <w:continuationSeparator/>
      </w:r>
    </w:p>
  </w:endnote>
  <w:endnote w:type="continuationNotice" w:id="1">
    <w:p w14:paraId="471E33BC" w14:textId="77777777" w:rsidR="00F852C8" w:rsidRDefault="00F852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073587"/>
      <w:docPartObj>
        <w:docPartGallery w:val="Page Numbers (Bottom of Page)"/>
        <w:docPartUnique/>
      </w:docPartObj>
    </w:sdtPr>
    <w:sdtEndPr>
      <w:rPr>
        <w:noProof/>
      </w:rPr>
    </w:sdtEndPr>
    <w:sdtContent>
      <w:p w14:paraId="67718B96" w14:textId="138A1AB8" w:rsidR="00F852C8" w:rsidRDefault="00F852C8" w:rsidP="00D775F0">
        <w:pPr>
          <w:pStyle w:val="Footer"/>
          <w:jc w:val="right"/>
        </w:pPr>
        <w:r>
          <w:rPr>
            <w:noProof/>
            <w:lang w:val="en-GB" w:eastAsia="en-GB"/>
          </w:rPr>
          <w:drawing>
            <wp:anchor distT="0" distB="0" distL="114300" distR="114300" simplePos="0" relativeHeight="251657216" behindDoc="1" locked="0" layoutInCell="1" allowOverlap="1" wp14:anchorId="0C5A7949" wp14:editId="05EB9E65">
              <wp:simplePos x="0" y="0"/>
              <wp:positionH relativeFrom="margin">
                <wp:posOffset>2444750</wp:posOffset>
              </wp:positionH>
              <wp:positionV relativeFrom="paragraph">
                <wp:posOffset>-107950</wp:posOffset>
              </wp:positionV>
              <wp:extent cx="1054100" cy="406400"/>
              <wp:effectExtent l="0" t="0" r="0" b="0"/>
              <wp:wrapThrough wrapText="bothSides">
                <wp:wrapPolygon edited="0">
                  <wp:start x="0" y="0"/>
                  <wp:lineTo x="0" y="20250"/>
                  <wp:lineTo x="21080" y="20250"/>
                  <wp:lineTo x="21080" y="0"/>
                  <wp:lineTo x="0" y="0"/>
                </wp:wrapPolygon>
              </wp:wrapThrough>
              <wp:docPr id="7" name="Picture 7" descr="brid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dge_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5282"/>
                      <a:stretch/>
                    </pic:blipFill>
                    <pic:spPr bwMode="auto">
                      <a:xfrm>
                        <a:off x="0" y="0"/>
                        <a:ext cx="1054100" cy="406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331771">
          <w:rPr>
            <w:noProof/>
          </w:rPr>
          <w:t>15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11156" w14:textId="77777777" w:rsidR="00F852C8" w:rsidRDefault="00F852C8" w:rsidP="006C5B8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104E6" w14:textId="77777777" w:rsidR="00F852C8" w:rsidRDefault="00F852C8" w:rsidP="00620995">
      <w:pPr>
        <w:spacing w:after="0" w:line="240" w:lineRule="auto"/>
      </w:pPr>
      <w:r>
        <w:separator/>
      </w:r>
    </w:p>
  </w:footnote>
  <w:footnote w:type="continuationSeparator" w:id="0">
    <w:p w14:paraId="51669828" w14:textId="77777777" w:rsidR="00F852C8" w:rsidRDefault="00F852C8" w:rsidP="00620995">
      <w:pPr>
        <w:spacing w:after="0" w:line="240" w:lineRule="auto"/>
      </w:pPr>
      <w:r>
        <w:continuationSeparator/>
      </w:r>
    </w:p>
  </w:footnote>
  <w:footnote w:type="continuationNotice" w:id="1">
    <w:p w14:paraId="4BF9E77F" w14:textId="77777777" w:rsidR="00F852C8" w:rsidRDefault="00F852C8">
      <w:pPr>
        <w:spacing w:after="0" w:line="240" w:lineRule="auto"/>
      </w:pPr>
    </w:p>
  </w:footnote>
  <w:footnote w:id="2">
    <w:p w14:paraId="46A98B26" w14:textId="11D3B990" w:rsidR="00F852C8" w:rsidRPr="008319FB" w:rsidRDefault="00F852C8">
      <w:pPr>
        <w:pStyle w:val="FootnoteText"/>
        <w:rPr>
          <w:lang w:val="en-GB"/>
        </w:rPr>
      </w:pPr>
      <w:r>
        <w:rPr>
          <w:rStyle w:val="FootnoteReference"/>
        </w:rPr>
        <w:footnoteRef/>
      </w:r>
      <w:r w:rsidRPr="008319FB">
        <w:rPr>
          <w:lang w:val="en-GB"/>
        </w:rPr>
        <w:t xml:space="preserve"> </w:t>
      </w:r>
      <w:r>
        <w:rPr>
          <w:lang w:val="en-GB"/>
        </w:rPr>
        <w:t>This includes EU Member States, EFTA and EEA countries.</w:t>
      </w:r>
    </w:p>
  </w:footnote>
  <w:footnote w:id="3">
    <w:p w14:paraId="39C5508C" w14:textId="348E2057" w:rsidR="00F852C8" w:rsidRPr="00EA7528" w:rsidRDefault="00F852C8">
      <w:pPr>
        <w:pStyle w:val="FootnoteText"/>
        <w:rPr>
          <w:lang w:val="en-GB"/>
        </w:rPr>
      </w:pPr>
      <w:r>
        <w:rPr>
          <w:rStyle w:val="FootnoteReference"/>
        </w:rPr>
        <w:footnoteRef/>
      </w:r>
      <w:r w:rsidRPr="00EA7528">
        <w:rPr>
          <w:lang w:val="en-GB"/>
        </w:rPr>
        <w:t xml:space="preserve"> </w:t>
      </w:r>
      <w:proofErr w:type="spellStart"/>
      <w:proofErr w:type="gramStart"/>
      <w:r>
        <w:rPr>
          <w:lang w:val="en-GB"/>
        </w:rPr>
        <w:t>Inculding</w:t>
      </w:r>
      <w:proofErr w:type="spellEnd"/>
      <w:r>
        <w:rPr>
          <w:lang w:val="en-GB"/>
        </w:rPr>
        <w:t xml:space="preserve"> EFTA and EEA countries.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5FE78" w14:textId="77777777" w:rsidR="00F852C8" w:rsidRDefault="00F852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7016"/>
    <w:multiLevelType w:val="hybridMultilevel"/>
    <w:tmpl w:val="96F81E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4D8007C"/>
    <w:multiLevelType w:val="hybridMultilevel"/>
    <w:tmpl w:val="37A41A6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54304CF"/>
    <w:multiLevelType w:val="hybridMultilevel"/>
    <w:tmpl w:val="6B96F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E1FAD"/>
    <w:multiLevelType w:val="hybridMultilevel"/>
    <w:tmpl w:val="AB92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C15DF8"/>
    <w:multiLevelType w:val="hybridMultilevel"/>
    <w:tmpl w:val="54FE0D8C"/>
    <w:lvl w:ilvl="0" w:tplc="04090011">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0BD6422B"/>
    <w:multiLevelType w:val="hybridMultilevel"/>
    <w:tmpl w:val="F274D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470CA8"/>
    <w:multiLevelType w:val="hybridMultilevel"/>
    <w:tmpl w:val="5B900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CD59B0"/>
    <w:multiLevelType w:val="hybridMultilevel"/>
    <w:tmpl w:val="CA76BCE2"/>
    <w:lvl w:ilvl="0" w:tplc="D5EC5A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D30E13"/>
    <w:multiLevelType w:val="hybridMultilevel"/>
    <w:tmpl w:val="4BC424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3C518CC"/>
    <w:multiLevelType w:val="hybridMultilevel"/>
    <w:tmpl w:val="F5E86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B87CC7"/>
    <w:multiLevelType w:val="hybridMultilevel"/>
    <w:tmpl w:val="75B03F86"/>
    <w:lvl w:ilvl="0" w:tplc="0409000F">
      <w:start w:val="1"/>
      <w:numFmt w:val="decimal"/>
      <w:lvlText w:val="%1."/>
      <w:lvlJc w:val="left"/>
      <w:pPr>
        <w:ind w:left="720" w:hanging="360"/>
      </w:pPr>
    </w:lvl>
    <w:lvl w:ilvl="1" w:tplc="08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503285"/>
    <w:multiLevelType w:val="hybridMultilevel"/>
    <w:tmpl w:val="8A4AAAA8"/>
    <w:lvl w:ilvl="0" w:tplc="08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6B0783"/>
    <w:multiLevelType w:val="hybridMultilevel"/>
    <w:tmpl w:val="99327B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8434ACE"/>
    <w:multiLevelType w:val="hybridMultilevel"/>
    <w:tmpl w:val="FE92C89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4">
    <w:nsid w:val="2ADE5430"/>
    <w:multiLevelType w:val="hybridMultilevel"/>
    <w:tmpl w:val="1668D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774470"/>
    <w:multiLevelType w:val="hybridMultilevel"/>
    <w:tmpl w:val="6DC20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9C5EF4"/>
    <w:multiLevelType w:val="hybridMultilevel"/>
    <w:tmpl w:val="05E2174A"/>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7">
    <w:nsid w:val="42E21C39"/>
    <w:multiLevelType w:val="multilevel"/>
    <w:tmpl w:val="940E79AC"/>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50521BBF"/>
    <w:multiLevelType w:val="hybridMultilevel"/>
    <w:tmpl w:val="3C1662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57EC5167"/>
    <w:multiLevelType w:val="hybridMultilevel"/>
    <w:tmpl w:val="231E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5E7CD7"/>
    <w:multiLevelType w:val="hybridMultilevel"/>
    <w:tmpl w:val="3748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C12698"/>
    <w:multiLevelType w:val="hybridMultilevel"/>
    <w:tmpl w:val="B1BA98EA"/>
    <w:lvl w:ilvl="0" w:tplc="04090001">
      <w:start w:val="1"/>
      <w:numFmt w:val="bullet"/>
      <w:lvlText w:val=""/>
      <w:lvlJc w:val="left"/>
      <w:pPr>
        <w:tabs>
          <w:tab w:val="num" w:pos="720"/>
        </w:tabs>
        <w:ind w:left="720" w:hanging="360"/>
      </w:pPr>
      <w:rPr>
        <w:rFonts w:ascii="Symbol" w:hAnsi="Symbol" w:hint="default"/>
      </w:rPr>
    </w:lvl>
    <w:lvl w:ilvl="1" w:tplc="1350407A" w:tentative="1">
      <w:start w:val="1"/>
      <w:numFmt w:val="bullet"/>
      <w:lvlText w:val="-"/>
      <w:lvlJc w:val="left"/>
      <w:pPr>
        <w:tabs>
          <w:tab w:val="num" w:pos="1440"/>
        </w:tabs>
        <w:ind w:left="1440" w:hanging="360"/>
      </w:pPr>
      <w:rPr>
        <w:rFonts w:ascii="Arial" w:hAnsi="Arial" w:hint="default"/>
      </w:rPr>
    </w:lvl>
    <w:lvl w:ilvl="2" w:tplc="F06AA536" w:tentative="1">
      <w:start w:val="1"/>
      <w:numFmt w:val="bullet"/>
      <w:lvlText w:val="-"/>
      <w:lvlJc w:val="left"/>
      <w:pPr>
        <w:tabs>
          <w:tab w:val="num" w:pos="2160"/>
        </w:tabs>
        <w:ind w:left="2160" w:hanging="360"/>
      </w:pPr>
      <w:rPr>
        <w:rFonts w:ascii="Arial" w:hAnsi="Arial" w:hint="default"/>
      </w:rPr>
    </w:lvl>
    <w:lvl w:ilvl="3" w:tplc="B29A69B6" w:tentative="1">
      <w:start w:val="1"/>
      <w:numFmt w:val="bullet"/>
      <w:lvlText w:val="-"/>
      <w:lvlJc w:val="left"/>
      <w:pPr>
        <w:tabs>
          <w:tab w:val="num" w:pos="2880"/>
        </w:tabs>
        <w:ind w:left="2880" w:hanging="360"/>
      </w:pPr>
      <w:rPr>
        <w:rFonts w:ascii="Arial" w:hAnsi="Arial" w:hint="default"/>
      </w:rPr>
    </w:lvl>
    <w:lvl w:ilvl="4" w:tplc="C9AC6A18" w:tentative="1">
      <w:start w:val="1"/>
      <w:numFmt w:val="bullet"/>
      <w:lvlText w:val="-"/>
      <w:lvlJc w:val="left"/>
      <w:pPr>
        <w:tabs>
          <w:tab w:val="num" w:pos="3600"/>
        </w:tabs>
        <w:ind w:left="3600" w:hanging="360"/>
      </w:pPr>
      <w:rPr>
        <w:rFonts w:ascii="Arial" w:hAnsi="Arial" w:hint="default"/>
      </w:rPr>
    </w:lvl>
    <w:lvl w:ilvl="5" w:tplc="A1FEFEA0" w:tentative="1">
      <w:start w:val="1"/>
      <w:numFmt w:val="bullet"/>
      <w:lvlText w:val="-"/>
      <w:lvlJc w:val="left"/>
      <w:pPr>
        <w:tabs>
          <w:tab w:val="num" w:pos="4320"/>
        </w:tabs>
        <w:ind w:left="4320" w:hanging="360"/>
      </w:pPr>
      <w:rPr>
        <w:rFonts w:ascii="Arial" w:hAnsi="Arial" w:hint="default"/>
      </w:rPr>
    </w:lvl>
    <w:lvl w:ilvl="6" w:tplc="0AF2513E" w:tentative="1">
      <w:start w:val="1"/>
      <w:numFmt w:val="bullet"/>
      <w:lvlText w:val="-"/>
      <w:lvlJc w:val="left"/>
      <w:pPr>
        <w:tabs>
          <w:tab w:val="num" w:pos="5040"/>
        </w:tabs>
        <w:ind w:left="5040" w:hanging="360"/>
      </w:pPr>
      <w:rPr>
        <w:rFonts w:ascii="Arial" w:hAnsi="Arial" w:hint="default"/>
      </w:rPr>
    </w:lvl>
    <w:lvl w:ilvl="7" w:tplc="3048B5DA" w:tentative="1">
      <w:start w:val="1"/>
      <w:numFmt w:val="bullet"/>
      <w:lvlText w:val="-"/>
      <w:lvlJc w:val="left"/>
      <w:pPr>
        <w:tabs>
          <w:tab w:val="num" w:pos="5760"/>
        </w:tabs>
        <w:ind w:left="5760" w:hanging="360"/>
      </w:pPr>
      <w:rPr>
        <w:rFonts w:ascii="Arial" w:hAnsi="Arial" w:hint="default"/>
      </w:rPr>
    </w:lvl>
    <w:lvl w:ilvl="8" w:tplc="13DAF98C" w:tentative="1">
      <w:start w:val="1"/>
      <w:numFmt w:val="bullet"/>
      <w:lvlText w:val="-"/>
      <w:lvlJc w:val="left"/>
      <w:pPr>
        <w:tabs>
          <w:tab w:val="num" w:pos="6480"/>
        </w:tabs>
        <w:ind w:left="6480" w:hanging="360"/>
      </w:pPr>
      <w:rPr>
        <w:rFonts w:ascii="Arial" w:hAnsi="Arial" w:hint="default"/>
      </w:rPr>
    </w:lvl>
  </w:abstractNum>
  <w:abstractNum w:abstractNumId="22">
    <w:nsid w:val="666743BC"/>
    <w:multiLevelType w:val="hybridMultilevel"/>
    <w:tmpl w:val="2E56E420"/>
    <w:lvl w:ilvl="0" w:tplc="0409000F">
      <w:start w:val="1"/>
      <w:numFmt w:val="decimal"/>
      <w:lvlText w:val="%1."/>
      <w:lvlJc w:val="left"/>
      <w:pPr>
        <w:ind w:left="720" w:hanging="360"/>
      </w:pPr>
      <w:rPr>
        <w:rFonts w:hint="default"/>
      </w:rPr>
    </w:lvl>
    <w:lvl w:ilvl="1" w:tplc="1B6689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E96388"/>
    <w:multiLevelType w:val="hybridMultilevel"/>
    <w:tmpl w:val="4132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77390B"/>
    <w:multiLevelType w:val="hybridMultilevel"/>
    <w:tmpl w:val="3C88B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FB42076"/>
    <w:multiLevelType w:val="multilevel"/>
    <w:tmpl w:val="73C6D6CE"/>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6">
    <w:nsid w:val="71760161"/>
    <w:multiLevelType w:val="hybridMultilevel"/>
    <w:tmpl w:val="9A6ED918"/>
    <w:lvl w:ilvl="0" w:tplc="247C1060">
      <w:start w:val="2"/>
      <w:numFmt w:val="bullet"/>
      <w:lvlText w:val="-"/>
      <w:lvlJc w:val="left"/>
      <w:pPr>
        <w:ind w:left="720" w:hanging="360"/>
      </w:pPr>
      <w:rPr>
        <w:rFonts w:ascii="Trebuchet MS" w:eastAsiaTheme="minorHAnsi" w:hAnsi="Trebuchet MS"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71C43CFD"/>
    <w:multiLevelType w:val="hybridMultilevel"/>
    <w:tmpl w:val="2F1EFEF4"/>
    <w:lvl w:ilvl="0" w:tplc="D570D208">
      <w:numFmt w:val="bullet"/>
      <w:lvlText w:val="•"/>
      <w:lvlJc w:val="left"/>
      <w:pPr>
        <w:ind w:left="1080" w:hanging="72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045B59"/>
    <w:multiLevelType w:val="hybridMultilevel"/>
    <w:tmpl w:val="78A6F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F61229"/>
    <w:multiLevelType w:val="hybridMultilevel"/>
    <w:tmpl w:val="CA76BCE2"/>
    <w:lvl w:ilvl="0" w:tplc="D5EC5A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631312"/>
    <w:multiLevelType w:val="hybridMultilevel"/>
    <w:tmpl w:val="8918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DC1037"/>
    <w:multiLevelType w:val="hybridMultilevel"/>
    <w:tmpl w:val="9B88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9"/>
  </w:num>
  <w:num w:numId="3">
    <w:abstractNumId w:val="29"/>
    <w:lvlOverride w:ilvl="0">
      <w:startOverride w:val="1"/>
    </w:lvlOverride>
  </w:num>
  <w:num w:numId="4">
    <w:abstractNumId w:val="27"/>
  </w:num>
  <w:num w:numId="5">
    <w:abstractNumId w:val="2"/>
  </w:num>
  <w:num w:numId="6">
    <w:abstractNumId w:val="8"/>
  </w:num>
  <w:num w:numId="7">
    <w:abstractNumId w:val="18"/>
  </w:num>
  <w:num w:numId="8">
    <w:abstractNumId w:val="0"/>
  </w:num>
  <w:num w:numId="9">
    <w:abstractNumId w:val="12"/>
  </w:num>
  <w:num w:numId="10">
    <w:abstractNumId w:val="13"/>
  </w:num>
  <w:num w:numId="11">
    <w:abstractNumId w:val="21"/>
  </w:num>
  <w:num w:numId="12">
    <w:abstractNumId w:val="23"/>
  </w:num>
  <w:num w:numId="13">
    <w:abstractNumId w:val="30"/>
  </w:num>
  <w:num w:numId="14">
    <w:abstractNumId w:val="20"/>
  </w:num>
  <w:num w:numId="15">
    <w:abstractNumId w:val="15"/>
  </w:num>
  <w:num w:numId="16">
    <w:abstractNumId w:val="14"/>
  </w:num>
  <w:num w:numId="17">
    <w:abstractNumId w:val="28"/>
  </w:num>
  <w:num w:numId="18">
    <w:abstractNumId w:val="1"/>
  </w:num>
  <w:num w:numId="19">
    <w:abstractNumId w:val="5"/>
  </w:num>
  <w:num w:numId="20">
    <w:abstractNumId w:val="4"/>
  </w:num>
  <w:num w:numId="21">
    <w:abstractNumId w:val="22"/>
  </w:num>
  <w:num w:numId="22">
    <w:abstractNumId w:val="7"/>
  </w:num>
  <w:num w:numId="23">
    <w:abstractNumId w:val="31"/>
  </w:num>
  <w:num w:numId="24">
    <w:abstractNumId w:val="3"/>
  </w:num>
  <w:num w:numId="25">
    <w:abstractNumId w:val="16"/>
  </w:num>
  <w:num w:numId="26">
    <w:abstractNumId w:val="9"/>
  </w:num>
  <w:num w:numId="27">
    <w:abstractNumId w:val="6"/>
  </w:num>
  <w:num w:numId="28">
    <w:abstractNumId w:val="25"/>
  </w:num>
  <w:num w:numId="29">
    <w:abstractNumId w:val="11"/>
  </w:num>
  <w:num w:numId="30">
    <w:abstractNumId w:val="10"/>
  </w:num>
  <w:num w:numId="31">
    <w:abstractNumId w:val="17"/>
  </w:num>
  <w:num w:numId="32">
    <w:abstractNumId w:val="19"/>
  </w:num>
  <w:num w:numId="33">
    <w:abstractNumId w:val="25"/>
  </w:num>
  <w:num w:numId="34">
    <w:abstractNumId w:val="25"/>
  </w:num>
  <w:num w:numId="35">
    <w:abstractNumId w:val="26"/>
  </w:num>
  <w:num w:numId="36">
    <w:abstractNumId w:val="2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ville Calleja">
    <w15:presenceInfo w15:providerId="Windows Live" w15:userId="ec3c6bd9dbb46c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188"/>
    <w:rsid w:val="00001F4E"/>
    <w:rsid w:val="000054A2"/>
    <w:rsid w:val="0001203E"/>
    <w:rsid w:val="00014E9A"/>
    <w:rsid w:val="00017304"/>
    <w:rsid w:val="00017D05"/>
    <w:rsid w:val="000201E7"/>
    <w:rsid w:val="00020DBB"/>
    <w:rsid w:val="00031BDE"/>
    <w:rsid w:val="00033B8B"/>
    <w:rsid w:val="00036140"/>
    <w:rsid w:val="00041C0F"/>
    <w:rsid w:val="00042183"/>
    <w:rsid w:val="0004375B"/>
    <w:rsid w:val="000475C8"/>
    <w:rsid w:val="00053682"/>
    <w:rsid w:val="00054E78"/>
    <w:rsid w:val="0006172D"/>
    <w:rsid w:val="000723A6"/>
    <w:rsid w:val="00073880"/>
    <w:rsid w:val="000805A6"/>
    <w:rsid w:val="000832D6"/>
    <w:rsid w:val="000835E6"/>
    <w:rsid w:val="00086065"/>
    <w:rsid w:val="00097CF6"/>
    <w:rsid w:val="000A32E2"/>
    <w:rsid w:val="000A3AEF"/>
    <w:rsid w:val="000A5688"/>
    <w:rsid w:val="000B0476"/>
    <w:rsid w:val="000B15B4"/>
    <w:rsid w:val="000B1A46"/>
    <w:rsid w:val="000C0525"/>
    <w:rsid w:val="000C0854"/>
    <w:rsid w:val="000C5F95"/>
    <w:rsid w:val="000E72D5"/>
    <w:rsid w:val="000F4D80"/>
    <w:rsid w:val="00101521"/>
    <w:rsid w:val="00104901"/>
    <w:rsid w:val="00106ABD"/>
    <w:rsid w:val="00116048"/>
    <w:rsid w:val="00116A99"/>
    <w:rsid w:val="00121A6C"/>
    <w:rsid w:val="00123724"/>
    <w:rsid w:val="00130C2B"/>
    <w:rsid w:val="00132FDD"/>
    <w:rsid w:val="0013490A"/>
    <w:rsid w:val="00134FCB"/>
    <w:rsid w:val="00146F8B"/>
    <w:rsid w:val="001471B3"/>
    <w:rsid w:val="0015130B"/>
    <w:rsid w:val="00165C21"/>
    <w:rsid w:val="00171D3A"/>
    <w:rsid w:val="00172EF0"/>
    <w:rsid w:val="0017745C"/>
    <w:rsid w:val="00177B4F"/>
    <w:rsid w:val="00181A27"/>
    <w:rsid w:val="001824A8"/>
    <w:rsid w:val="00184056"/>
    <w:rsid w:val="0018468C"/>
    <w:rsid w:val="001857F4"/>
    <w:rsid w:val="00191D13"/>
    <w:rsid w:val="001933FD"/>
    <w:rsid w:val="00194EF2"/>
    <w:rsid w:val="00196179"/>
    <w:rsid w:val="001A33C1"/>
    <w:rsid w:val="001A3AE6"/>
    <w:rsid w:val="001A6F31"/>
    <w:rsid w:val="001A760B"/>
    <w:rsid w:val="001B4EC3"/>
    <w:rsid w:val="001B6769"/>
    <w:rsid w:val="001B6B3C"/>
    <w:rsid w:val="001C64AA"/>
    <w:rsid w:val="001D10E3"/>
    <w:rsid w:val="001E17C7"/>
    <w:rsid w:val="001E2020"/>
    <w:rsid w:val="001E252B"/>
    <w:rsid w:val="001F3E8C"/>
    <w:rsid w:val="00211906"/>
    <w:rsid w:val="002171B9"/>
    <w:rsid w:val="002209D0"/>
    <w:rsid w:val="00220EEE"/>
    <w:rsid w:val="00227729"/>
    <w:rsid w:val="00230D1F"/>
    <w:rsid w:val="00243D0A"/>
    <w:rsid w:val="00252FF4"/>
    <w:rsid w:val="00253303"/>
    <w:rsid w:val="00254EFA"/>
    <w:rsid w:val="00260043"/>
    <w:rsid w:val="002608A6"/>
    <w:rsid w:val="002647B9"/>
    <w:rsid w:val="00265AAA"/>
    <w:rsid w:val="00270CC0"/>
    <w:rsid w:val="00271D6C"/>
    <w:rsid w:val="002738B8"/>
    <w:rsid w:val="00273C06"/>
    <w:rsid w:val="00274D61"/>
    <w:rsid w:val="00286CDD"/>
    <w:rsid w:val="00290030"/>
    <w:rsid w:val="00291353"/>
    <w:rsid w:val="002925E5"/>
    <w:rsid w:val="0029565B"/>
    <w:rsid w:val="002A5819"/>
    <w:rsid w:val="002A7F06"/>
    <w:rsid w:val="002B1793"/>
    <w:rsid w:val="002B2FF1"/>
    <w:rsid w:val="002B38E1"/>
    <w:rsid w:val="002B711A"/>
    <w:rsid w:val="002B768D"/>
    <w:rsid w:val="002C11D6"/>
    <w:rsid w:val="002C15F6"/>
    <w:rsid w:val="002C3AED"/>
    <w:rsid w:val="002C4D49"/>
    <w:rsid w:val="002D208A"/>
    <w:rsid w:val="002D3082"/>
    <w:rsid w:val="002D3B32"/>
    <w:rsid w:val="002D7A20"/>
    <w:rsid w:val="002E21C3"/>
    <w:rsid w:val="002E3DAD"/>
    <w:rsid w:val="002E43CC"/>
    <w:rsid w:val="002E4CAC"/>
    <w:rsid w:val="002E6269"/>
    <w:rsid w:val="0030065D"/>
    <w:rsid w:val="00301A8F"/>
    <w:rsid w:val="00310C02"/>
    <w:rsid w:val="0031240C"/>
    <w:rsid w:val="00321290"/>
    <w:rsid w:val="00321C08"/>
    <w:rsid w:val="00330B45"/>
    <w:rsid w:val="00331771"/>
    <w:rsid w:val="0033336A"/>
    <w:rsid w:val="0033350C"/>
    <w:rsid w:val="003418B0"/>
    <w:rsid w:val="00344B27"/>
    <w:rsid w:val="00345C73"/>
    <w:rsid w:val="00346771"/>
    <w:rsid w:val="00357FF6"/>
    <w:rsid w:val="0037001D"/>
    <w:rsid w:val="003720E8"/>
    <w:rsid w:val="00372E3D"/>
    <w:rsid w:val="0037313E"/>
    <w:rsid w:val="00377F55"/>
    <w:rsid w:val="00380B15"/>
    <w:rsid w:val="00385B8B"/>
    <w:rsid w:val="00393407"/>
    <w:rsid w:val="0039353C"/>
    <w:rsid w:val="00395D71"/>
    <w:rsid w:val="003A0401"/>
    <w:rsid w:val="003A1823"/>
    <w:rsid w:val="003A2B8E"/>
    <w:rsid w:val="003A6FD0"/>
    <w:rsid w:val="003B2141"/>
    <w:rsid w:val="003B49FC"/>
    <w:rsid w:val="003B6E05"/>
    <w:rsid w:val="003C3B53"/>
    <w:rsid w:val="003C3C7A"/>
    <w:rsid w:val="003C747A"/>
    <w:rsid w:val="003D5E67"/>
    <w:rsid w:val="003D79B4"/>
    <w:rsid w:val="003E5AF9"/>
    <w:rsid w:val="0040575C"/>
    <w:rsid w:val="00406A97"/>
    <w:rsid w:val="00407156"/>
    <w:rsid w:val="00410FA8"/>
    <w:rsid w:val="004274E2"/>
    <w:rsid w:val="00427A7C"/>
    <w:rsid w:val="00434595"/>
    <w:rsid w:val="0044042D"/>
    <w:rsid w:val="00445054"/>
    <w:rsid w:val="00452753"/>
    <w:rsid w:val="0045282B"/>
    <w:rsid w:val="00452D8D"/>
    <w:rsid w:val="004635B9"/>
    <w:rsid w:val="004637C9"/>
    <w:rsid w:val="00470C55"/>
    <w:rsid w:val="00471E78"/>
    <w:rsid w:val="004772F4"/>
    <w:rsid w:val="004830B9"/>
    <w:rsid w:val="00483444"/>
    <w:rsid w:val="0048597F"/>
    <w:rsid w:val="00486379"/>
    <w:rsid w:val="00496EE6"/>
    <w:rsid w:val="004A618D"/>
    <w:rsid w:val="004B3D92"/>
    <w:rsid w:val="004B4895"/>
    <w:rsid w:val="004B5A67"/>
    <w:rsid w:val="004B7C7D"/>
    <w:rsid w:val="004C0E74"/>
    <w:rsid w:val="004C246C"/>
    <w:rsid w:val="004C2493"/>
    <w:rsid w:val="004C4624"/>
    <w:rsid w:val="004C68D2"/>
    <w:rsid w:val="004C7100"/>
    <w:rsid w:val="004C7E58"/>
    <w:rsid w:val="004D068F"/>
    <w:rsid w:val="004D1A0B"/>
    <w:rsid w:val="004D34A2"/>
    <w:rsid w:val="004D4E14"/>
    <w:rsid w:val="004D564C"/>
    <w:rsid w:val="004E0BD2"/>
    <w:rsid w:val="004E47DB"/>
    <w:rsid w:val="004F154A"/>
    <w:rsid w:val="004F484D"/>
    <w:rsid w:val="004F4B04"/>
    <w:rsid w:val="00503346"/>
    <w:rsid w:val="0050642D"/>
    <w:rsid w:val="005065F9"/>
    <w:rsid w:val="00516ED9"/>
    <w:rsid w:val="0052331A"/>
    <w:rsid w:val="00527B46"/>
    <w:rsid w:val="00527F78"/>
    <w:rsid w:val="005303C9"/>
    <w:rsid w:val="00531821"/>
    <w:rsid w:val="005431D2"/>
    <w:rsid w:val="00545224"/>
    <w:rsid w:val="00545A98"/>
    <w:rsid w:val="00546C2B"/>
    <w:rsid w:val="00547B7C"/>
    <w:rsid w:val="005516DE"/>
    <w:rsid w:val="00553179"/>
    <w:rsid w:val="00554D87"/>
    <w:rsid w:val="00564019"/>
    <w:rsid w:val="00570445"/>
    <w:rsid w:val="005820BD"/>
    <w:rsid w:val="00585369"/>
    <w:rsid w:val="00587EB1"/>
    <w:rsid w:val="00595128"/>
    <w:rsid w:val="005A41D5"/>
    <w:rsid w:val="005B252F"/>
    <w:rsid w:val="005B54E3"/>
    <w:rsid w:val="005B7079"/>
    <w:rsid w:val="005C00F8"/>
    <w:rsid w:val="005C136B"/>
    <w:rsid w:val="005C6E23"/>
    <w:rsid w:val="005E1D30"/>
    <w:rsid w:val="005E4876"/>
    <w:rsid w:val="005F67C1"/>
    <w:rsid w:val="005F7646"/>
    <w:rsid w:val="00602C4E"/>
    <w:rsid w:val="006040A8"/>
    <w:rsid w:val="00604EBB"/>
    <w:rsid w:val="00606929"/>
    <w:rsid w:val="00607A46"/>
    <w:rsid w:val="0061015D"/>
    <w:rsid w:val="006102E5"/>
    <w:rsid w:val="00620995"/>
    <w:rsid w:val="006300AA"/>
    <w:rsid w:val="00630F59"/>
    <w:rsid w:val="0063370F"/>
    <w:rsid w:val="006370D6"/>
    <w:rsid w:val="00644185"/>
    <w:rsid w:val="00647098"/>
    <w:rsid w:val="00652B97"/>
    <w:rsid w:val="006538D2"/>
    <w:rsid w:val="00663A20"/>
    <w:rsid w:val="006640E1"/>
    <w:rsid w:val="00667548"/>
    <w:rsid w:val="006678F5"/>
    <w:rsid w:val="00673F9D"/>
    <w:rsid w:val="006755E9"/>
    <w:rsid w:val="00675BAE"/>
    <w:rsid w:val="00676557"/>
    <w:rsid w:val="00680460"/>
    <w:rsid w:val="006809E5"/>
    <w:rsid w:val="00682B9D"/>
    <w:rsid w:val="006861B9"/>
    <w:rsid w:val="00686D45"/>
    <w:rsid w:val="006917C9"/>
    <w:rsid w:val="00693B1A"/>
    <w:rsid w:val="006949A8"/>
    <w:rsid w:val="00694F28"/>
    <w:rsid w:val="0069671E"/>
    <w:rsid w:val="006A4602"/>
    <w:rsid w:val="006B0237"/>
    <w:rsid w:val="006B0589"/>
    <w:rsid w:val="006C09D1"/>
    <w:rsid w:val="006C5B87"/>
    <w:rsid w:val="006C6A94"/>
    <w:rsid w:val="006D13AA"/>
    <w:rsid w:val="006D3A01"/>
    <w:rsid w:val="006D3F98"/>
    <w:rsid w:val="006E4BC2"/>
    <w:rsid w:val="006F10F0"/>
    <w:rsid w:val="006F3C15"/>
    <w:rsid w:val="006F5D3D"/>
    <w:rsid w:val="006F7ADF"/>
    <w:rsid w:val="007066F7"/>
    <w:rsid w:val="007076F2"/>
    <w:rsid w:val="007163C6"/>
    <w:rsid w:val="0072175F"/>
    <w:rsid w:val="0072237B"/>
    <w:rsid w:val="00725061"/>
    <w:rsid w:val="007265E6"/>
    <w:rsid w:val="00730CF0"/>
    <w:rsid w:val="007328D6"/>
    <w:rsid w:val="007353B0"/>
    <w:rsid w:val="00747213"/>
    <w:rsid w:val="007503C7"/>
    <w:rsid w:val="00754837"/>
    <w:rsid w:val="00754D94"/>
    <w:rsid w:val="0075585D"/>
    <w:rsid w:val="00757FB9"/>
    <w:rsid w:val="007612B6"/>
    <w:rsid w:val="00766833"/>
    <w:rsid w:val="00777072"/>
    <w:rsid w:val="0077776D"/>
    <w:rsid w:val="00783060"/>
    <w:rsid w:val="00785447"/>
    <w:rsid w:val="00787D01"/>
    <w:rsid w:val="00792FD4"/>
    <w:rsid w:val="007933D2"/>
    <w:rsid w:val="00795E5C"/>
    <w:rsid w:val="007A52E5"/>
    <w:rsid w:val="007A6E01"/>
    <w:rsid w:val="007B059F"/>
    <w:rsid w:val="007B4876"/>
    <w:rsid w:val="007B5FFA"/>
    <w:rsid w:val="007B7444"/>
    <w:rsid w:val="007C09BF"/>
    <w:rsid w:val="007D2F19"/>
    <w:rsid w:val="007D31A6"/>
    <w:rsid w:val="007E118D"/>
    <w:rsid w:val="007E25D9"/>
    <w:rsid w:val="007E3963"/>
    <w:rsid w:val="007F2FE8"/>
    <w:rsid w:val="007F3871"/>
    <w:rsid w:val="007F38DE"/>
    <w:rsid w:val="007F48B9"/>
    <w:rsid w:val="0081578A"/>
    <w:rsid w:val="008227B4"/>
    <w:rsid w:val="00824CE7"/>
    <w:rsid w:val="0082530C"/>
    <w:rsid w:val="00825DCD"/>
    <w:rsid w:val="008302BD"/>
    <w:rsid w:val="008319FB"/>
    <w:rsid w:val="008407E3"/>
    <w:rsid w:val="00845D86"/>
    <w:rsid w:val="008560CF"/>
    <w:rsid w:val="00863135"/>
    <w:rsid w:val="00864D60"/>
    <w:rsid w:val="00864E48"/>
    <w:rsid w:val="00865251"/>
    <w:rsid w:val="00867FF1"/>
    <w:rsid w:val="00873920"/>
    <w:rsid w:val="0087395D"/>
    <w:rsid w:val="00873B7D"/>
    <w:rsid w:val="00874C9F"/>
    <w:rsid w:val="00880BBE"/>
    <w:rsid w:val="00881C0E"/>
    <w:rsid w:val="00882700"/>
    <w:rsid w:val="00882FE2"/>
    <w:rsid w:val="00890E38"/>
    <w:rsid w:val="008928F0"/>
    <w:rsid w:val="00893C0F"/>
    <w:rsid w:val="008A1100"/>
    <w:rsid w:val="008A7B9B"/>
    <w:rsid w:val="008B12DA"/>
    <w:rsid w:val="008C2702"/>
    <w:rsid w:val="008C5941"/>
    <w:rsid w:val="008D07AF"/>
    <w:rsid w:val="008E3C7D"/>
    <w:rsid w:val="008E3E4C"/>
    <w:rsid w:val="008E46A9"/>
    <w:rsid w:val="008E506C"/>
    <w:rsid w:val="008E52F0"/>
    <w:rsid w:val="008E64CB"/>
    <w:rsid w:val="008F18BD"/>
    <w:rsid w:val="0090043D"/>
    <w:rsid w:val="00900610"/>
    <w:rsid w:val="00903B7D"/>
    <w:rsid w:val="00910719"/>
    <w:rsid w:val="0091154F"/>
    <w:rsid w:val="00913BAA"/>
    <w:rsid w:val="00917CBC"/>
    <w:rsid w:val="00933FE1"/>
    <w:rsid w:val="0093505E"/>
    <w:rsid w:val="009602FC"/>
    <w:rsid w:val="00961E87"/>
    <w:rsid w:val="00961FD8"/>
    <w:rsid w:val="009640AE"/>
    <w:rsid w:val="00964C12"/>
    <w:rsid w:val="0096529C"/>
    <w:rsid w:val="00967474"/>
    <w:rsid w:val="00967D93"/>
    <w:rsid w:val="00973506"/>
    <w:rsid w:val="00981434"/>
    <w:rsid w:val="009903E1"/>
    <w:rsid w:val="00991320"/>
    <w:rsid w:val="009979B5"/>
    <w:rsid w:val="009A2394"/>
    <w:rsid w:val="009B0E4C"/>
    <w:rsid w:val="009B34DE"/>
    <w:rsid w:val="009B5D1A"/>
    <w:rsid w:val="009B68C7"/>
    <w:rsid w:val="009C7B08"/>
    <w:rsid w:val="009E027A"/>
    <w:rsid w:val="009E3004"/>
    <w:rsid w:val="009E51B8"/>
    <w:rsid w:val="009E5859"/>
    <w:rsid w:val="009E6406"/>
    <w:rsid w:val="009E6E55"/>
    <w:rsid w:val="009F18F2"/>
    <w:rsid w:val="00A130B7"/>
    <w:rsid w:val="00A134E8"/>
    <w:rsid w:val="00A26671"/>
    <w:rsid w:val="00A27EC5"/>
    <w:rsid w:val="00A31510"/>
    <w:rsid w:val="00A31676"/>
    <w:rsid w:val="00A36B8C"/>
    <w:rsid w:val="00A41C3D"/>
    <w:rsid w:val="00A57BA7"/>
    <w:rsid w:val="00A640FB"/>
    <w:rsid w:val="00A67295"/>
    <w:rsid w:val="00A754C5"/>
    <w:rsid w:val="00A83E0F"/>
    <w:rsid w:val="00A856A4"/>
    <w:rsid w:val="00A85D4B"/>
    <w:rsid w:val="00A87858"/>
    <w:rsid w:val="00A90AAC"/>
    <w:rsid w:val="00A95D4C"/>
    <w:rsid w:val="00AA465A"/>
    <w:rsid w:val="00AA7338"/>
    <w:rsid w:val="00AB2118"/>
    <w:rsid w:val="00AB5BDA"/>
    <w:rsid w:val="00AB6821"/>
    <w:rsid w:val="00AD0B4E"/>
    <w:rsid w:val="00AD4696"/>
    <w:rsid w:val="00AD4ED8"/>
    <w:rsid w:val="00AE0A05"/>
    <w:rsid w:val="00AE1672"/>
    <w:rsid w:val="00AE2C3F"/>
    <w:rsid w:val="00AE5B2D"/>
    <w:rsid w:val="00AE7494"/>
    <w:rsid w:val="00AF08B7"/>
    <w:rsid w:val="00AF512F"/>
    <w:rsid w:val="00B00D81"/>
    <w:rsid w:val="00B018B1"/>
    <w:rsid w:val="00B01FA8"/>
    <w:rsid w:val="00B04DC2"/>
    <w:rsid w:val="00B07C88"/>
    <w:rsid w:val="00B12324"/>
    <w:rsid w:val="00B23A4C"/>
    <w:rsid w:val="00B2512B"/>
    <w:rsid w:val="00B54324"/>
    <w:rsid w:val="00B60F57"/>
    <w:rsid w:val="00B63FD1"/>
    <w:rsid w:val="00B72C5D"/>
    <w:rsid w:val="00B72E11"/>
    <w:rsid w:val="00B74035"/>
    <w:rsid w:val="00B74BA0"/>
    <w:rsid w:val="00B773B3"/>
    <w:rsid w:val="00B84307"/>
    <w:rsid w:val="00B86A78"/>
    <w:rsid w:val="00B86CAE"/>
    <w:rsid w:val="00B92C80"/>
    <w:rsid w:val="00B9644B"/>
    <w:rsid w:val="00B9712A"/>
    <w:rsid w:val="00BB7EF1"/>
    <w:rsid w:val="00BC348F"/>
    <w:rsid w:val="00BD01FA"/>
    <w:rsid w:val="00BD223C"/>
    <w:rsid w:val="00BD438B"/>
    <w:rsid w:val="00BE4CFB"/>
    <w:rsid w:val="00BE5665"/>
    <w:rsid w:val="00BE7E4C"/>
    <w:rsid w:val="00BF6421"/>
    <w:rsid w:val="00C01150"/>
    <w:rsid w:val="00C0250F"/>
    <w:rsid w:val="00C036EC"/>
    <w:rsid w:val="00C06747"/>
    <w:rsid w:val="00C10C34"/>
    <w:rsid w:val="00C1140C"/>
    <w:rsid w:val="00C137B1"/>
    <w:rsid w:val="00C142AE"/>
    <w:rsid w:val="00C16565"/>
    <w:rsid w:val="00C23DC4"/>
    <w:rsid w:val="00C2550A"/>
    <w:rsid w:val="00C3149A"/>
    <w:rsid w:val="00C35098"/>
    <w:rsid w:val="00C47E36"/>
    <w:rsid w:val="00C53221"/>
    <w:rsid w:val="00C559F0"/>
    <w:rsid w:val="00C6192C"/>
    <w:rsid w:val="00C63185"/>
    <w:rsid w:val="00C6330E"/>
    <w:rsid w:val="00C66A0E"/>
    <w:rsid w:val="00C67151"/>
    <w:rsid w:val="00C67DA9"/>
    <w:rsid w:val="00C730EF"/>
    <w:rsid w:val="00C76140"/>
    <w:rsid w:val="00C86E82"/>
    <w:rsid w:val="00C9016B"/>
    <w:rsid w:val="00C9017F"/>
    <w:rsid w:val="00C91F82"/>
    <w:rsid w:val="00C92135"/>
    <w:rsid w:val="00CA03F0"/>
    <w:rsid w:val="00CA1C31"/>
    <w:rsid w:val="00CA37E9"/>
    <w:rsid w:val="00CA3FAB"/>
    <w:rsid w:val="00CA48C3"/>
    <w:rsid w:val="00CA4C3B"/>
    <w:rsid w:val="00CB0B21"/>
    <w:rsid w:val="00CB15F4"/>
    <w:rsid w:val="00CB55C2"/>
    <w:rsid w:val="00CB726E"/>
    <w:rsid w:val="00CC681B"/>
    <w:rsid w:val="00CC78F8"/>
    <w:rsid w:val="00CD4399"/>
    <w:rsid w:val="00CE6A89"/>
    <w:rsid w:val="00CE6DB2"/>
    <w:rsid w:val="00CF1C3E"/>
    <w:rsid w:val="00CF74E9"/>
    <w:rsid w:val="00CF79CE"/>
    <w:rsid w:val="00CF7AF4"/>
    <w:rsid w:val="00CF7DF8"/>
    <w:rsid w:val="00D005D9"/>
    <w:rsid w:val="00D00956"/>
    <w:rsid w:val="00D05BE5"/>
    <w:rsid w:val="00D16566"/>
    <w:rsid w:val="00D21EB4"/>
    <w:rsid w:val="00D31DDE"/>
    <w:rsid w:val="00D32C64"/>
    <w:rsid w:val="00D3379F"/>
    <w:rsid w:val="00D3427D"/>
    <w:rsid w:val="00D34F22"/>
    <w:rsid w:val="00D40BEB"/>
    <w:rsid w:val="00D41BFF"/>
    <w:rsid w:val="00D41CDC"/>
    <w:rsid w:val="00D477BF"/>
    <w:rsid w:val="00D533E7"/>
    <w:rsid w:val="00D55E65"/>
    <w:rsid w:val="00D602DF"/>
    <w:rsid w:val="00D61B9B"/>
    <w:rsid w:val="00D66C00"/>
    <w:rsid w:val="00D67681"/>
    <w:rsid w:val="00D67CD5"/>
    <w:rsid w:val="00D749A9"/>
    <w:rsid w:val="00D775F0"/>
    <w:rsid w:val="00D823D0"/>
    <w:rsid w:val="00D827E0"/>
    <w:rsid w:val="00D83C6E"/>
    <w:rsid w:val="00D85A67"/>
    <w:rsid w:val="00D87086"/>
    <w:rsid w:val="00D87B20"/>
    <w:rsid w:val="00D91DE6"/>
    <w:rsid w:val="00D927FF"/>
    <w:rsid w:val="00DA380E"/>
    <w:rsid w:val="00DA4EFC"/>
    <w:rsid w:val="00DA586A"/>
    <w:rsid w:val="00DB38A6"/>
    <w:rsid w:val="00DC01E5"/>
    <w:rsid w:val="00DC5C06"/>
    <w:rsid w:val="00DC5C67"/>
    <w:rsid w:val="00DC7B38"/>
    <w:rsid w:val="00DD64AB"/>
    <w:rsid w:val="00DE01CA"/>
    <w:rsid w:val="00DE05EA"/>
    <w:rsid w:val="00DE0CEF"/>
    <w:rsid w:val="00DE0F02"/>
    <w:rsid w:val="00DE4FEA"/>
    <w:rsid w:val="00DE7886"/>
    <w:rsid w:val="00DF1F50"/>
    <w:rsid w:val="00E039BE"/>
    <w:rsid w:val="00E03CF2"/>
    <w:rsid w:val="00E111C7"/>
    <w:rsid w:val="00E207B0"/>
    <w:rsid w:val="00E20D02"/>
    <w:rsid w:val="00E260FE"/>
    <w:rsid w:val="00E264C9"/>
    <w:rsid w:val="00E272AA"/>
    <w:rsid w:val="00E273FA"/>
    <w:rsid w:val="00E31A8E"/>
    <w:rsid w:val="00E400EB"/>
    <w:rsid w:val="00E4126A"/>
    <w:rsid w:val="00E41321"/>
    <w:rsid w:val="00E44392"/>
    <w:rsid w:val="00E466E3"/>
    <w:rsid w:val="00E64614"/>
    <w:rsid w:val="00E72792"/>
    <w:rsid w:val="00E73052"/>
    <w:rsid w:val="00E766A0"/>
    <w:rsid w:val="00E81821"/>
    <w:rsid w:val="00E818E5"/>
    <w:rsid w:val="00E8602B"/>
    <w:rsid w:val="00E906AE"/>
    <w:rsid w:val="00E92861"/>
    <w:rsid w:val="00E95FC2"/>
    <w:rsid w:val="00E96A09"/>
    <w:rsid w:val="00EA0420"/>
    <w:rsid w:val="00EA39B1"/>
    <w:rsid w:val="00EA7528"/>
    <w:rsid w:val="00EB272C"/>
    <w:rsid w:val="00EB409D"/>
    <w:rsid w:val="00EC0848"/>
    <w:rsid w:val="00EC11C4"/>
    <w:rsid w:val="00EC37DF"/>
    <w:rsid w:val="00EC4AEB"/>
    <w:rsid w:val="00ED5F10"/>
    <w:rsid w:val="00ED69B5"/>
    <w:rsid w:val="00EE0E03"/>
    <w:rsid w:val="00EE1B59"/>
    <w:rsid w:val="00EE33B6"/>
    <w:rsid w:val="00EE3C14"/>
    <w:rsid w:val="00EE53F0"/>
    <w:rsid w:val="00EE60F7"/>
    <w:rsid w:val="00EE7278"/>
    <w:rsid w:val="00F005A0"/>
    <w:rsid w:val="00F0159C"/>
    <w:rsid w:val="00F01C36"/>
    <w:rsid w:val="00F02B86"/>
    <w:rsid w:val="00F02E9C"/>
    <w:rsid w:val="00F0704F"/>
    <w:rsid w:val="00F12583"/>
    <w:rsid w:val="00F1352D"/>
    <w:rsid w:val="00F135F6"/>
    <w:rsid w:val="00F16BF8"/>
    <w:rsid w:val="00F26894"/>
    <w:rsid w:val="00F30C5C"/>
    <w:rsid w:val="00F32F51"/>
    <w:rsid w:val="00F33188"/>
    <w:rsid w:val="00F37B76"/>
    <w:rsid w:val="00F41B26"/>
    <w:rsid w:val="00F45009"/>
    <w:rsid w:val="00F51843"/>
    <w:rsid w:val="00F54C20"/>
    <w:rsid w:val="00F55081"/>
    <w:rsid w:val="00F61922"/>
    <w:rsid w:val="00F6421F"/>
    <w:rsid w:val="00F707A7"/>
    <w:rsid w:val="00F70D1F"/>
    <w:rsid w:val="00F852C8"/>
    <w:rsid w:val="00F91BA2"/>
    <w:rsid w:val="00F94262"/>
    <w:rsid w:val="00F97DC4"/>
    <w:rsid w:val="00FA0CF4"/>
    <w:rsid w:val="00FA5A77"/>
    <w:rsid w:val="00FA6D94"/>
    <w:rsid w:val="00FA76AA"/>
    <w:rsid w:val="00FC10AB"/>
    <w:rsid w:val="00FC3B60"/>
    <w:rsid w:val="00FC51AA"/>
    <w:rsid w:val="00FD1DB3"/>
    <w:rsid w:val="00FD26A2"/>
    <w:rsid w:val="00FD34D2"/>
    <w:rsid w:val="00FD3D45"/>
    <w:rsid w:val="00FD5EAA"/>
    <w:rsid w:val="00FD7434"/>
    <w:rsid w:val="00FD75D3"/>
    <w:rsid w:val="00FD7CDB"/>
    <w:rsid w:val="00FE0A7F"/>
    <w:rsid w:val="00FE1478"/>
    <w:rsid w:val="00FE2543"/>
    <w:rsid w:val="00FE46EE"/>
    <w:rsid w:val="00FE5344"/>
    <w:rsid w:val="00FF1444"/>
    <w:rsid w:val="00FF2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942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EAA"/>
    <w:pPr>
      <w:jc w:val="both"/>
    </w:pPr>
    <w:rPr>
      <w:rFonts w:ascii="Trebuchet MS" w:hAnsi="Trebuchet MS"/>
    </w:rPr>
  </w:style>
  <w:style w:type="paragraph" w:styleId="Heading1">
    <w:name w:val="heading 1"/>
    <w:basedOn w:val="Normal"/>
    <w:next w:val="Normal"/>
    <w:link w:val="Heading1Char"/>
    <w:uiPriority w:val="9"/>
    <w:qFormat/>
    <w:rsid w:val="006C5B87"/>
    <w:pPr>
      <w:numPr>
        <w:numId w:val="28"/>
      </w:numPr>
      <w:tabs>
        <w:tab w:val="left" w:pos="360"/>
      </w:tabs>
      <w:spacing w:after="240" w:line="240" w:lineRule="auto"/>
      <w:outlineLvl w:val="0"/>
    </w:pPr>
    <w:rPr>
      <w:b/>
      <w:color w:val="90B85D"/>
      <w:sz w:val="26"/>
      <w:szCs w:val="24"/>
      <w:u w:val="single"/>
      <w:lang w:val="en-GB"/>
    </w:rPr>
  </w:style>
  <w:style w:type="paragraph" w:styleId="Heading2">
    <w:name w:val="heading 2"/>
    <w:basedOn w:val="Normal"/>
    <w:next w:val="Normal"/>
    <w:link w:val="Heading2Char"/>
    <w:uiPriority w:val="9"/>
    <w:unhideWhenUsed/>
    <w:qFormat/>
    <w:rsid w:val="000A3AEF"/>
    <w:pPr>
      <w:keepNext/>
      <w:keepLines/>
      <w:numPr>
        <w:ilvl w:val="1"/>
        <w:numId w:val="28"/>
      </w:numPr>
      <w:tabs>
        <w:tab w:val="left" w:pos="540"/>
      </w:tabs>
      <w:spacing w:before="200" w:after="240"/>
      <w:outlineLvl w:val="1"/>
    </w:pPr>
    <w:rPr>
      <w:rFonts w:eastAsiaTheme="majorEastAsia" w:cstheme="majorBidi"/>
      <w:b/>
      <w:bCs/>
      <w:color w:val="327C8F"/>
      <w:sz w:val="26"/>
      <w:szCs w:val="26"/>
    </w:rPr>
  </w:style>
  <w:style w:type="paragraph" w:styleId="Heading3">
    <w:name w:val="heading 3"/>
    <w:basedOn w:val="Normal"/>
    <w:next w:val="Normal"/>
    <w:link w:val="Heading3Char"/>
    <w:uiPriority w:val="9"/>
    <w:unhideWhenUsed/>
    <w:qFormat/>
    <w:rsid w:val="00F51843"/>
    <w:pPr>
      <w:keepNext/>
      <w:keepLines/>
      <w:numPr>
        <w:ilvl w:val="2"/>
        <w:numId w:val="28"/>
      </w:numPr>
      <w:spacing w:before="200" w:after="240"/>
      <w:outlineLvl w:val="2"/>
    </w:pPr>
    <w:rPr>
      <w:rFonts w:eastAsiaTheme="majorEastAsia" w:cstheme="majorBidi"/>
      <w:b/>
      <w:bCs/>
      <w:color w:val="C00000"/>
    </w:rPr>
  </w:style>
  <w:style w:type="paragraph" w:styleId="Heading4">
    <w:name w:val="heading 4"/>
    <w:basedOn w:val="Normal"/>
    <w:next w:val="Normal"/>
    <w:link w:val="Heading4Char"/>
    <w:uiPriority w:val="9"/>
    <w:unhideWhenUsed/>
    <w:qFormat/>
    <w:rsid w:val="00F51843"/>
    <w:pPr>
      <w:keepNext/>
      <w:keepLines/>
      <w:numPr>
        <w:ilvl w:val="3"/>
        <w:numId w:val="28"/>
      </w:numPr>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0054A2"/>
    <w:pPr>
      <w:keepNext/>
      <w:keepLines/>
      <w:numPr>
        <w:ilvl w:val="4"/>
        <w:numId w:val="2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54A2"/>
    <w:pPr>
      <w:keepNext/>
      <w:keepLines/>
      <w:numPr>
        <w:ilvl w:val="5"/>
        <w:numId w:val="2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54A2"/>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54A2"/>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54A2"/>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49A9"/>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D749A9"/>
    <w:rPr>
      <w:color w:val="0000FF" w:themeColor="hyperlink"/>
      <w:u w:val="single"/>
    </w:rPr>
  </w:style>
  <w:style w:type="paragraph" w:styleId="Header">
    <w:name w:val="header"/>
    <w:basedOn w:val="Normal"/>
    <w:link w:val="HeaderChar"/>
    <w:uiPriority w:val="99"/>
    <w:unhideWhenUsed/>
    <w:rsid w:val="00620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995"/>
  </w:style>
  <w:style w:type="paragraph" w:styleId="Footer">
    <w:name w:val="footer"/>
    <w:basedOn w:val="Normal"/>
    <w:link w:val="FooterChar"/>
    <w:uiPriority w:val="99"/>
    <w:unhideWhenUsed/>
    <w:rsid w:val="00620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995"/>
  </w:style>
  <w:style w:type="character" w:customStyle="1" w:styleId="Heading1Char">
    <w:name w:val="Heading 1 Char"/>
    <w:basedOn w:val="DefaultParagraphFont"/>
    <w:link w:val="Heading1"/>
    <w:uiPriority w:val="9"/>
    <w:rsid w:val="006C5B87"/>
    <w:rPr>
      <w:rFonts w:ascii="Trebuchet MS" w:hAnsi="Trebuchet MS"/>
      <w:b/>
      <w:color w:val="90B85D"/>
      <w:sz w:val="26"/>
      <w:szCs w:val="24"/>
      <w:u w:val="single"/>
      <w:lang w:val="en-GB"/>
    </w:rPr>
  </w:style>
  <w:style w:type="paragraph" w:styleId="Title">
    <w:name w:val="Title"/>
    <w:basedOn w:val="Normal"/>
    <w:next w:val="Normal"/>
    <w:link w:val="TitleChar"/>
    <w:uiPriority w:val="10"/>
    <w:qFormat/>
    <w:rsid w:val="00A67295"/>
    <w:pPr>
      <w:pageBreakBefore/>
      <w:spacing w:after="0" w:line="240" w:lineRule="auto"/>
    </w:pPr>
    <w:rPr>
      <w:rFonts w:cs="Arial"/>
      <w:b/>
      <w:color w:val="005CA9"/>
      <w:sz w:val="30"/>
      <w:szCs w:val="30"/>
      <w:lang w:val="en-GB"/>
    </w:rPr>
  </w:style>
  <w:style w:type="character" w:customStyle="1" w:styleId="TitleChar">
    <w:name w:val="Title Char"/>
    <w:basedOn w:val="DefaultParagraphFont"/>
    <w:link w:val="Title"/>
    <w:uiPriority w:val="10"/>
    <w:rsid w:val="00A67295"/>
    <w:rPr>
      <w:rFonts w:ascii="Trebuchet MS" w:hAnsi="Trebuchet MS" w:cs="Arial"/>
      <w:b/>
      <w:color w:val="005CA9"/>
      <w:sz w:val="30"/>
      <w:szCs w:val="30"/>
      <w:lang w:val="en-GB"/>
    </w:rPr>
  </w:style>
  <w:style w:type="paragraph" w:styleId="FootnoteText">
    <w:name w:val="footnote text"/>
    <w:basedOn w:val="Normal"/>
    <w:link w:val="FootnoteTextChar"/>
    <w:uiPriority w:val="99"/>
    <w:semiHidden/>
    <w:unhideWhenUsed/>
    <w:rsid w:val="0048597F"/>
    <w:pPr>
      <w:spacing w:after="0" w:line="240" w:lineRule="auto"/>
    </w:pPr>
    <w:rPr>
      <w:sz w:val="20"/>
      <w:szCs w:val="20"/>
      <w:lang w:val="nl-NL"/>
    </w:rPr>
  </w:style>
  <w:style w:type="character" w:customStyle="1" w:styleId="FootnoteTextChar">
    <w:name w:val="Footnote Text Char"/>
    <w:basedOn w:val="DefaultParagraphFont"/>
    <w:link w:val="FootnoteText"/>
    <w:uiPriority w:val="99"/>
    <w:semiHidden/>
    <w:rsid w:val="0048597F"/>
    <w:rPr>
      <w:sz w:val="20"/>
      <w:szCs w:val="20"/>
      <w:lang w:val="nl-NL"/>
    </w:rPr>
  </w:style>
  <w:style w:type="character" w:styleId="FootnoteReference">
    <w:name w:val="footnote reference"/>
    <w:basedOn w:val="DefaultParagraphFont"/>
    <w:uiPriority w:val="99"/>
    <w:semiHidden/>
    <w:unhideWhenUsed/>
    <w:rsid w:val="0048597F"/>
    <w:rPr>
      <w:vertAlign w:val="superscript"/>
    </w:rPr>
  </w:style>
  <w:style w:type="paragraph" w:customStyle="1" w:styleId="Default">
    <w:name w:val="Default"/>
    <w:rsid w:val="0048597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85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97F"/>
    <w:rPr>
      <w:rFonts w:ascii="Tahoma" w:hAnsi="Tahoma" w:cs="Tahoma"/>
      <w:sz w:val="16"/>
      <w:szCs w:val="16"/>
    </w:rPr>
  </w:style>
  <w:style w:type="character" w:customStyle="1" w:styleId="Heading2Char">
    <w:name w:val="Heading 2 Char"/>
    <w:basedOn w:val="DefaultParagraphFont"/>
    <w:link w:val="Heading2"/>
    <w:uiPriority w:val="9"/>
    <w:rsid w:val="000A3AEF"/>
    <w:rPr>
      <w:rFonts w:ascii="Trebuchet MS" w:eastAsiaTheme="majorEastAsia" w:hAnsi="Trebuchet MS" w:cstheme="majorBidi"/>
      <w:b/>
      <w:bCs/>
      <w:color w:val="327C8F"/>
      <w:sz w:val="26"/>
      <w:szCs w:val="26"/>
    </w:rPr>
  </w:style>
  <w:style w:type="paragraph" w:styleId="ListParagraph">
    <w:name w:val="List Paragraph"/>
    <w:basedOn w:val="Normal"/>
    <w:uiPriority w:val="34"/>
    <w:qFormat/>
    <w:rsid w:val="000475C8"/>
    <w:pPr>
      <w:numPr>
        <w:numId w:val="1"/>
      </w:numPr>
      <w:spacing w:after="0" w:line="288" w:lineRule="auto"/>
    </w:pPr>
    <w:rPr>
      <w:iCs/>
    </w:rPr>
  </w:style>
  <w:style w:type="character" w:customStyle="1" w:styleId="Heading3Char">
    <w:name w:val="Heading 3 Char"/>
    <w:basedOn w:val="DefaultParagraphFont"/>
    <w:link w:val="Heading3"/>
    <w:uiPriority w:val="9"/>
    <w:rsid w:val="00F51843"/>
    <w:rPr>
      <w:rFonts w:ascii="Trebuchet MS" w:eastAsiaTheme="majorEastAsia" w:hAnsi="Trebuchet MS" w:cstheme="majorBidi"/>
      <w:b/>
      <w:bCs/>
      <w:color w:val="C00000"/>
    </w:rPr>
  </w:style>
  <w:style w:type="character" w:customStyle="1" w:styleId="Heading4Char">
    <w:name w:val="Heading 4 Char"/>
    <w:basedOn w:val="DefaultParagraphFont"/>
    <w:link w:val="Heading4"/>
    <w:uiPriority w:val="9"/>
    <w:rsid w:val="00F51843"/>
    <w:rPr>
      <w:rFonts w:ascii="Trebuchet MS" w:eastAsiaTheme="majorEastAsia" w:hAnsi="Trebuchet MS" w:cstheme="majorBidi"/>
      <w:b/>
      <w:bCs/>
      <w:i/>
      <w:iCs/>
      <w:color w:val="4F81BD" w:themeColor="accent1"/>
    </w:rPr>
  </w:style>
  <w:style w:type="character" w:customStyle="1" w:styleId="Heading5Char">
    <w:name w:val="Heading 5 Char"/>
    <w:basedOn w:val="DefaultParagraphFont"/>
    <w:link w:val="Heading5"/>
    <w:uiPriority w:val="9"/>
    <w:rsid w:val="000054A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54A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054A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54A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54A2"/>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E96A09"/>
    <w:pPr>
      <w:keepNext/>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unhideWhenUsed/>
    <w:rsid w:val="00E96A09"/>
    <w:pPr>
      <w:spacing w:after="100"/>
    </w:pPr>
  </w:style>
  <w:style w:type="paragraph" w:styleId="TOC2">
    <w:name w:val="toc 2"/>
    <w:basedOn w:val="Normal"/>
    <w:next w:val="Normal"/>
    <w:autoRedefine/>
    <w:uiPriority w:val="39"/>
    <w:unhideWhenUsed/>
    <w:rsid w:val="00E96A09"/>
    <w:pPr>
      <w:spacing w:after="100"/>
      <w:ind w:left="220"/>
    </w:pPr>
  </w:style>
  <w:style w:type="paragraph" w:styleId="EndnoteText">
    <w:name w:val="endnote text"/>
    <w:basedOn w:val="Normal"/>
    <w:link w:val="EndnoteTextChar"/>
    <w:uiPriority w:val="99"/>
    <w:semiHidden/>
    <w:unhideWhenUsed/>
    <w:rsid w:val="008E50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506C"/>
    <w:rPr>
      <w:sz w:val="20"/>
      <w:szCs w:val="20"/>
    </w:rPr>
  </w:style>
  <w:style w:type="character" w:styleId="EndnoteReference">
    <w:name w:val="endnote reference"/>
    <w:basedOn w:val="DefaultParagraphFont"/>
    <w:uiPriority w:val="99"/>
    <w:semiHidden/>
    <w:unhideWhenUsed/>
    <w:rsid w:val="008E506C"/>
    <w:rPr>
      <w:vertAlign w:val="superscript"/>
    </w:rPr>
  </w:style>
  <w:style w:type="paragraph" w:styleId="TOC3">
    <w:name w:val="toc 3"/>
    <w:basedOn w:val="Normal"/>
    <w:next w:val="Normal"/>
    <w:autoRedefine/>
    <w:uiPriority w:val="39"/>
    <w:unhideWhenUsed/>
    <w:rsid w:val="00FD26A2"/>
    <w:pPr>
      <w:spacing w:after="100"/>
      <w:ind w:left="440"/>
    </w:pPr>
  </w:style>
  <w:style w:type="character" w:styleId="CommentReference">
    <w:name w:val="annotation reference"/>
    <w:basedOn w:val="DefaultParagraphFont"/>
    <w:uiPriority w:val="99"/>
    <w:semiHidden/>
    <w:unhideWhenUsed/>
    <w:rsid w:val="00286CDD"/>
    <w:rPr>
      <w:sz w:val="16"/>
      <w:szCs w:val="16"/>
    </w:rPr>
  </w:style>
  <w:style w:type="paragraph" w:styleId="CommentText">
    <w:name w:val="annotation text"/>
    <w:basedOn w:val="Normal"/>
    <w:link w:val="CommentTextChar"/>
    <w:uiPriority w:val="99"/>
    <w:semiHidden/>
    <w:unhideWhenUsed/>
    <w:rsid w:val="00286CDD"/>
    <w:pPr>
      <w:spacing w:line="240" w:lineRule="auto"/>
    </w:pPr>
    <w:rPr>
      <w:sz w:val="20"/>
      <w:szCs w:val="20"/>
    </w:rPr>
  </w:style>
  <w:style w:type="character" w:customStyle="1" w:styleId="CommentTextChar">
    <w:name w:val="Comment Text Char"/>
    <w:basedOn w:val="DefaultParagraphFont"/>
    <w:link w:val="CommentText"/>
    <w:uiPriority w:val="99"/>
    <w:semiHidden/>
    <w:rsid w:val="00286CDD"/>
    <w:rPr>
      <w:sz w:val="20"/>
      <w:szCs w:val="20"/>
    </w:rPr>
  </w:style>
  <w:style w:type="paragraph" w:styleId="CommentSubject">
    <w:name w:val="annotation subject"/>
    <w:basedOn w:val="CommentText"/>
    <w:next w:val="CommentText"/>
    <w:link w:val="CommentSubjectChar"/>
    <w:uiPriority w:val="99"/>
    <w:semiHidden/>
    <w:unhideWhenUsed/>
    <w:rsid w:val="00286CDD"/>
    <w:rPr>
      <w:b/>
      <w:bCs/>
    </w:rPr>
  </w:style>
  <w:style w:type="character" w:customStyle="1" w:styleId="CommentSubjectChar">
    <w:name w:val="Comment Subject Char"/>
    <w:basedOn w:val="CommentTextChar"/>
    <w:link w:val="CommentSubject"/>
    <w:uiPriority w:val="99"/>
    <w:semiHidden/>
    <w:rsid w:val="00286CDD"/>
    <w:rPr>
      <w:b/>
      <w:bCs/>
      <w:sz w:val="20"/>
      <w:szCs w:val="20"/>
    </w:rPr>
  </w:style>
  <w:style w:type="table" w:styleId="TableGrid">
    <w:name w:val="Table Grid"/>
    <w:basedOn w:val="TableNormal"/>
    <w:uiPriority w:val="59"/>
    <w:rsid w:val="00483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48344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48344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B8430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B74BA0"/>
    <w:pPr>
      <w:spacing w:after="0" w:line="240" w:lineRule="auto"/>
    </w:pPr>
    <w:rPr>
      <w:rFonts w:ascii="Trebuchet MS" w:hAnsi="Trebuchet MS"/>
    </w:rPr>
  </w:style>
  <w:style w:type="character" w:styleId="FollowedHyperlink">
    <w:name w:val="FollowedHyperlink"/>
    <w:basedOn w:val="DefaultParagraphFont"/>
    <w:uiPriority w:val="99"/>
    <w:semiHidden/>
    <w:unhideWhenUsed/>
    <w:rsid w:val="006102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EAA"/>
    <w:pPr>
      <w:jc w:val="both"/>
    </w:pPr>
    <w:rPr>
      <w:rFonts w:ascii="Trebuchet MS" w:hAnsi="Trebuchet MS"/>
    </w:rPr>
  </w:style>
  <w:style w:type="paragraph" w:styleId="Heading1">
    <w:name w:val="heading 1"/>
    <w:basedOn w:val="Normal"/>
    <w:next w:val="Normal"/>
    <w:link w:val="Heading1Char"/>
    <w:uiPriority w:val="9"/>
    <w:qFormat/>
    <w:rsid w:val="006C5B87"/>
    <w:pPr>
      <w:numPr>
        <w:numId w:val="28"/>
      </w:numPr>
      <w:tabs>
        <w:tab w:val="left" w:pos="360"/>
      </w:tabs>
      <w:spacing w:after="240" w:line="240" w:lineRule="auto"/>
      <w:outlineLvl w:val="0"/>
    </w:pPr>
    <w:rPr>
      <w:b/>
      <w:color w:val="90B85D"/>
      <w:sz w:val="26"/>
      <w:szCs w:val="24"/>
      <w:u w:val="single"/>
      <w:lang w:val="en-GB"/>
    </w:rPr>
  </w:style>
  <w:style w:type="paragraph" w:styleId="Heading2">
    <w:name w:val="heading 2"/>
    <w:basedOn w:val="Normal"/>
    <w:next w:val="Normal"/>
    <w:link w:val="Heading2Char"/>
    <w:uiPriority w:val="9"/>
    <w:unhideWhenUsed/>
    <w:qFormat/>
    <w:rsid w:val="000A3AEF"/>
    <w:pPr>
      <w:keepNext/>
      <w:keepLines/>
      <w:numPr>
        <w:ilvl w:val="1"/>
        <w:numId w:val="28"/>
      </w:numPr>
      <w:tabs>
        <w:tab w:val="left" w:pos="540"/>
      </w:tabs>
      <w:spacing w:before="200" w:after="240"/>
      <w:outlineLvl w:val="1"/>
    </w:pPr>
    <w:rPr>
      <w:rFonts w:eastAsiaTheme="majorEastAsia" w:cstheme="majorBidi"/>
      <w:b/>
      <w:bCs/>
      <w:color w:val="327C8F"/>
      <w:sz w:val="26"/>
      <w:szCs w:val="26"/>
    </w:rPr>
  </w:style>
  <w:style w:type="paragraph" w:styleId="Heading3">
    <w:name w:val="heading 3"/>
    <w:basedOn w:val="Normal"/>
    <w:next w:val="Normal"/>
    <w:link w:val="Heading3Char"/>
    <w:uiPriority w:val="9"/>
    <w:unhideWhenUsed/>
    <w:qFormat/>
    <w:rsid w:val="00F51843"/>
    <w:pPr>
      <w:keepNext/>
      <w:keepLines/>
      <w:numPr>
        <w:ilvl w:val="2"/>
        <w:numId w:val="28"/>
      </w:numPr>
      <w:spacing w:before="200" w:after="240"/>
      <w:outlineLvl w:val="2"/>
    </w:pPr>
    <w:rPr>
      <w:rFonts w:eastAsiaTheme="majorEastAsia" w:cstheme="majorBidi"/>
      <w:b/>
      <w:bCs/>
      <w:color w:val="C00000"/>
    </w:rPr>
  </w:style>
  <w:style w:type="paragraph" w:styleId="Heading4">
    <w:name w:val="heading 4"/>
    <w:basedOn w:val="Normal"/>
    <w:next w:val="Normal"/>
    <w:link w:val="Heading4Char"/>
    <w:uiPriority w:val="9"/>
    <w:unhideWhenUsed/>
    <w:qFormat/>
    <w:rsid w:val="00F51843"/>
    <w:pPr>
      <w:keepNext/>
      <w:keepLines/>
      <w:numPr>
        <w:ilvl w:val="3"/>
        <w:numId w:val="28"/>
      </w:numPr>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0054A2"/>
    <w:pPr>
      <w:keepNext/>
      <w:keepLines/>
      <w:numPr>
        <w:ilvl w:val="4"/>
        <w:numId w:val="2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54A2"/>
    <w:pPr>
      <w:keepNext/>
      <w:keepLines/>
      <w:numPr>
        <w:ilvl w:val="5"/>
        <w:numId w:val="2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54A2"/>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54A2"/>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54A2"/>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49A9"/>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D749A9"/>
    <w:rPr>
      <w:color w:val="0000FF" w:themeColor="hyperlink"/>
      <w:u w:val="single"/>
    </w:rPr>
  </w:style>
  <w:style w:type="paragraph" w:styleId="Header">
    <w:name w:val="header"/>
    <w:basedOn w:val="Normal"/>
    <w:link w:val="HeaderChar"/>
    <w:uiPriority w:val="99"/>
    <w:unhideWhenUsed/>
    <w:rsid w:val="00620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995"/>
  </w:style>
  <w:style w:type="paragraph" w:styleId="Footer">
    <w:name w:val="footer"/>
    <w:basedOn w:val="Normal"/>
    <w:link w:val="FooterChar"/>
    <w:uiPriority w:val="99"/>
    <w:unhideWhenUsed/>
    <w:rsid w:val="00620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995"/>
  </w:style>
  <w:style w:type="character" w:customStyle="1" w:styleId="Heading1Char">
    <w:name w:val="Heading 1 Char"/>
    <w:basedOn w:val="DefaultParagraphFont"/>
    <w:link w:val="Heading1"/>
    <w:uiPriority w:val="9"/>
    <w:rsid w:val="006C5B87"/>
    <w:rPr>
      <w:rFonts w:ascii="Trebuchet MS" w:hAnsi="Trebuchet MS"/>
      <w:b/>
      <w:color w:val="90B85D"/>
      <w:sz w:val="26"/>
      <w:szCs w:val="24"/>
      <w:u w:val="single"/>
      <w:lang w:val="en-GB"/>
    </w:rPr>
  </w:style>
  <w:style w:type="paragraph" w:styleId="Title">
    <w:name w:val="Title"/>
    <w:basedOn w:val="Normal"/>
    <w:next w:val="Normal"/>
    <w:link w:val="TitleChar"/>
    <w:uiPriority w:val="10"/>
    <w:qFormat/>
    <w:rsid w:val="00A67295"/>
    <w:pPr>
      <w:pageBreakBefore/>
      <w:spacing w:after="0" w:line="240" w:lineRule="auto"/>
    </w:pPr>
    <w:rPr>
      <w:rFonts w:cs="Arial"/>
      <w:b/>
      <w:color w:val="005CA9"/>
      <w:sz w:val="30"/>
      <w:szCs w:val="30"/>
      <w:lang w:val="en-GB"/>
    </w:rPr>
  </w:style>
  <w:style w:type="character" w:customStyle="1" w:styleId="TitleChar">
    <w:name w:val="Title Char"/>
    <w:basedOn w:val="DefaultParagraphFont"/>
    <w:link w:val="Title"/>
    <w:uiPriority w:val="10"/>
    <w:rsid w:val="00A67295"/>
    <w:rPr>
      <w:rFonts w:ascii="Trebuchet MS" w:hAnsi="Trebuchet MS" w:cs="Arial"/>
      <w:b/>
      <w:color w:val="005CA9"/>
      <w:sz w:val="30"/>
      <w:szCs w:val="30"/>
      <w:lang w:val="en-GB"/>
    </w:rPr>
  </w:style>
  <w:style w:type="paragraph" w:styleId="FootnoteText">
    <w:name w:val="footnote text"/>
    <w:basedOn w:val="Normal"/>
    <w:link w:val="FootnoteTextChar"/>
    <w:uiPriority w:val="99"/>
    <w:semiHidden/>
    <w:unhideWhenUsed/>
    <w:rsid w:val="0048597F"/>
    <w:pPr>
      <w:spacing w:after="0" w:line="240" w:lineRule="auto"/>
    </w:pPr>
    <w:rPr>
      <w:sz w:val="20"/>
      <w:szCs w:val="20"/>
      <w:lang w:val="nl-NL"/>
    </w:rPr>
  </w:style>
  <w:style w:type="character" w:customStyle="1" w:styleId="FootnoteTextChar">
    <w:name w:val="Footnote Text Char"/>
    <w:basedOn w:val="DefaultParagraphFont"/>
    <w:link w:val="FootnoteText"/>
    <w:uiPriority w:val="99"/>
    <w:semiHidden/>
    <w:rsid w:val="0048597F"/>
    <w:rPr>
      <w:sz w:val="20"/>
      <w:szCs w:val="20"/>
      <w:lang w:val="nl-NL"/>
    </w:rPr>
  </w:style>
  <w:style w:type="character" w:styleId="FootnoteReference">
    <w:name w:val="footnote reference"/>
    <w:basedOn w:val="DefaultParagraphFont"/>
    <w:uiPriority w:val="99"/>
    <w:semiHidden/>
    <w:unhideWhenUsed/>
    <w:rsid w:val="0048597F"/>
    <w:rPr>
      <w:vertAlign w:val="superscript"/>
    </w:rPr>
  </w:style>
  <w:style w:type="paragraph" w:customStyle="1" w:styleId="Default">
    <w:name w:val="Default"/>
    <w:rsid w:val="0048597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85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97F"/>
    <w:rPr>
      <w:rFonts w:ascii="Tahoma" w:hAnsi="Tahoma" w:cs="Tahoma"/>
      <w:sz w:val="16"/>
      <w:szCs w:val="16"/>
    </w:rPr>
  </w:style>
  <w:style w:type="character" w:customStyle="1" w:styleId="Heading2Char">
    <w:name w:val="Heading 2 Char"/>
    <w:basedOn w:val="DefaultParagraphFont"/>
    <w:link w:val="Heading2"/>
    <w:uiPriority w:val="9"/>
    <w:rsid w:val="000A3AEF"/>
    <w:rPr>
      <w:rFonts w:ascii="Trebuchet MS" w:eastAsiaTheme="majorEastAsia" w:hAnsi="Trebuchet MS" w:cstheme="majorBidi"/>
      <w:b/>
      <w:bCs/>
      <w:color w:val="327C8F"/>
      <w:sz w:val="26"/>
      <w:szCs w:val="26"/>
    </w:rPr>
  </w:style>
  <w:style w:type="paragraph" w:styleId="ListParagraph">
    <w:name w:val="List Paragraph"/>
    <w:basedOn w:val="Normal"/>
    <w:uiPriority w:val="34"/>
    <w:qFormat/>
    <w:rsid w:val="000475C8"/>
    <w:pPr>
      <w:numPr>
        <w:numId w:val="1"/>
      </w:numPr>
      <w:spacing w:after="0" w:line="288" w:lineRule="auto"/>
    </w:pPr>
    <w:rPr>
      <w:iCs/>
    </w:rPr>
  </w:style>
  <w:style w:type="character" w:customStyle="1" w:styleId="Heading3Char">
    <w:name w:val="Heading 3 Char"/>
    <w:basedOn w:val="DefaultParagraphFont"/>
    <w:link w:val="Heading3"/>
    <w:uiPriority w:val="9"/>
    <w:rsid w:val="00F51843"/>
    <w:rPr>
      <w:rFonts w:ascii="Trebuchet MS" w:eastAsiaTheme="majorEastAsia" w:hAnsi="Trebuchet MS" w:cstheme="majorBidi"/>
      <w:b/>
      <w:bCs/>
      <w:color w:val="C00000"/>
    </w:rPr>
  </w:style>
  <w:style w:type="character" w:customStyle="1" w:styleId="Heading4Char">
    <w:name w:val="Heading 4 Char"/>
    <w:basedOn w:val="DefaultParagraphFont"/>
    <w:link w:val="Heading4"/>
    <w:uiPriority w:val="9"/>
    <w:rsid w:val="00F51843"/>
    <w:rPr>
      <w:rFonts w:ascii="Trebuchet MS" w:eastAsiaTheme="majorEastAsia" w:hAnsi="Trebuchet MS" w:cstheme="majorBidi"/>
      <w:b/>
      <w:bCs/>
      <w:i/>
      <w:iCs/>
      <w:color w:val="4F81BD" w:themeColor="accent1"/>
    </w:rPr>
  </w:style>
  <w:style w:type="character" w:customStyle="1" w:styleId="Heading5Char">
    <w:name w:val="Heading 5 Char"/>
    <w:basedOn w:val="DefaultParagraphFont"/>
    <w:link w:val="Heading5"/>
    <w:uiPriority w:val="9"/>
    <w:rsid w:val="000054A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54A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054A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54A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54A2"/>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E96A09"/>
    <w:pPr>
      <w:keepNext/>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unhideWhenUsed/>
    <w:rsid w:val="00E96A09"/>
    <w:pPr>
      <w:spacing w:after="100"/>
    </w:pPr>
  </w:style>
  <w:style w:type="paragraph" w:styleId="TOC2">
    <w:name w:val="toc 2"/>
    <w:basedOn w:val="Normal"/>
    <w:next w:val="Normal"/>
    <w:autoRedefine/>
    <w:uiPriority w:val="39"/>
    <w:unhideWhenUsed/>
    <w:rsid w:val="00E96A09"/>
    <w:pPr>
      <w:spacing w:after="100"/>
      <w:ind w:left="220"/>
    </w:pPr>
  </w:style>
  <w:style w:type="paragraph" w:styleId="EndnoteText">
    <w:name w:val="endnote text"/>
    <w:basedOn w:val="Normal"/>
    <w:link w:val="EndnoteTextChar"/>
    <w:uiPriority w:val="99"/>
    <w:semiHidden/>
    <w:unhideWhenUsed/>
    <w:rsid w:val="008E50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506C"/>
    <w:rPr>
      <w:sz w:val="20"/>
      <w:szCs w:val="20"/>
    </w:rPr>
  </w:style>
  <w:style w:type="character" w:styleId="EndnoteReference">
    <w:name w:val="endnote reference"/>
    <w:basedOn w:val="DefaultParagraphFont"/>
    <w:uiPriority w:val="99"/>
    <w:semiHidden/>
    <w:unhideWhenUsed/>
    <w:rsid w:val="008E506C"/>
    <w:rPr>
      <w:vertAlign w:val="superscript"/>
    </w:rPr>
  </w:style>
  <w:style w:type="paragraph" w:styleId="TOC3">
    <w:name w:val="toc 3"/>
    <w:basedOn w:val="Normal"/>
    <w:next w:val="Normal"/>
    <w:autoRedefine/>
    <w:uiPriority w:val="39"/>
    <w:unhideWhenUsed/>
    <w:rsid w:val="00FD26A2"/>
    <w:pPr>
      <w:spacing w:after="100"/>
      <w:ind w:left="440"/>
    </w:pPr>
  </w:style>
  <w:style w:type="character" w:styleId="CommentReference">
    <w:name w:val="annotation reference"/>
    <w:basedOn w:val="DefaultParagraphFont"/>
    <w:uiPriority w:val="99"/>
    <w:semiHidden/>
    <w:unhideWhenUsed/>
    <w:rsid w:val="00286CDD"/>
    <w:rPr>
      <w:sz w:val="16"/>
      <w:szCs w:val="16"/>
    </w:rPr>
  </w:style>
  <w:style w:type="paragraph" w:styleId="CommentText">
    <w:name w:val="annotation text"/>
    <w:basedOn w:val="Normal"/>
    <w:link w:val="CommentTextChar"/>
    <w:uiPriority w:val="99"/>
    <w:semiHidden/>
    <w:unhideWhenUsed/>
    <w:rsid w:val="00286CDD"/>
    <w:pPr>
      <w:spacing w:line="240" w:lineRule="auto"/>
    </w:pPr>
    <w:rPr>
      <w:sz w:val="20"/>
      <w:szCs w:val="20"/>
    </w:rPr>
  </w:style>
  <w:style w:type="character" w:customStyle="1" w:styleId="CommentTextChar">
    <w:name w:val="Comment Text Char"/>
    <w:basedOn w:val="DefaultParagraphFont"/>
    <w:link w:val="CommentText"/>
    <w:uiPriority w:val="99"/>
    <w:semiHidden/>
    <w:rsid w:val="00286CDD"/>
    <w:rPr>
      <w:sz w:val="20"/>
      <w:szCs w:val="20"/>
    </w:rPr>
  </w:style>
  <w:style w:type="paragraph" w:styleId="CommentSubject">
    <w:name w:val="annotation subject"/>
    <w:basedOn w:val="CommentText"/>
    <w:next w:val="CommentText"/>
    <w:link w:val="CommentSubjectChar"/>
    <w:uiPriority w:val="99"/>
    <w:semiHidden/>
    <w:unhideWhenUsed/>
    <w:rsid w:val="00286CDD"/>
    <w:rPr>
      <w:b/>
      <w:bCs/>
    </w:rPr>
  </w:style>
  <w:style w:type="character" w:customStyle="1" w:styleId="CommentSubjectChar">
    <w:name w:val="Comment Subject Char"/>
    <w:basedOn w:val="CommentTextChar"/>
    <w:link w:val="CommentSubject"/>
    <w:uiPriority w:val="99"/>
    <w:semiHidden/>
    <w:rsid w:val="00286CDD"/>
    <w:rPr>
      <w:b/>
      <w:bCs/>
      <w:sz w:val="20"/>
      <w:szCs w:val="20"/>
    </w:rPr>
  </w:style>
  <w:style w:type="table" w:styleId="TableGrid">
    <w:name w:val="Table Grid"/>
    <w:basedOn w:val="TableNormal"/>
    <w:uiPriority w:val="59"/>
    <w:rsid w:val="00483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48344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48344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B8430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B74BA0"/>
    <w:pPr>
      <w:spacing w:after="0" w:line="240" w:lineRule="auto"/>
    </w:pPr>
    <w:rPr>
      <w:rFonts w:ascii="Trebuchet MS" w:hAnsi="Trebuchet MS"/>
    </w:rPr>
  </w:style>
  <w:style w:type="character" w:styleId="FollowedHyperlink">
    <w:name w:val="FollowedHyperlink"/>
    <w:basedOn w:val="DefaultParagraphFont"/>
    <w:uiPriority w:val="99"/>
    <w:semiHidden/>
    <w:unhideWhenUsed/>
    <w:rsid w:val="006102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01503">
      <w:bodyDiv w:val="1"/>
      <w:marLeft w:val="0"/>
      <w:marRight w:val="0"/>
      <w:marTop w:val="0"/>
      <w:marBottom w:val="0"/>
      <w:divBdr>
        <w:top w:val="none" w:sz="0" w:space="0" w:color="auto"/>
        <w:left w:val="none" w:sz="0" w:space="0" w:color="auto"/>
        <w:bottom w:val="none" w:sz="0" w:space="0" w:color="auto"/>
        <w:right w:val="none" w:sz="0" w:space="0" w:color="auto"/>
      </w:divBdr>
    </w:div>
    <w:div w:id="130561947">
      <w:bodyDiv w:val="1"/>
      <w:marLeft w:val="0"/>
      <w:marRight w:val="0"/>
      <w:marTop w:val="0"/>
      <w:marBottom w:val="0"/>
      <w:divBdr>
        <w:top w:val="none" w:sz="0" w:space="0" w:color="auto"/>
        <w:left w:val="none" w:sz="0" w:space="0" w:color="auto"/>
        <w:bottom w:val="none" w:sz="0" w:space="0" w:color="auto"/>
        <w:right w:val="none" w:sz="0" w:space="0" w:color="auto"/>
      </w:divBdr>
    </w:div>
    <w:div w:id="243491274">
      <w:bodyDiv w:val="1"/>
      <w:marLeft w:val="0"/>
      <w:marRight w:val="0"/>
      <w:marTop w:val="0"/>
      <w:marBottom w:val="0"/>
      <w:divBdr>
        <w:top w:val="none" w:sz="0" w:space="0" w:color="auto"/>
        <w:left w:val="none" w:sz="0" w:space="0" w:color="auto"/>
        <w:bottom w:val="none" w:sz="0" w:space="0" w:color="auto"/>
        <w:right w:val="none" w:sz="0" w:space="0" w:color="auto"/>
      </w:divBdr>
    </w:div>
    <w:div w:id="302976356">
      <w:bodyDiv w:val="1"/>
      <w:marLeft w:val="0"/>
      <w:marRight w:val="0"/>
      <w:marTop w:val="0"/>
      <w:marBottom w:val="0"/>
      <w:divBdr>
        <w:top w:val="none" w:sz="0" w:space="0" w:color="auto"/>
        <w:left w:val="none" w:sz="0" w:space="0" w:color="auto"/>
        <w:bottom w:val="none" w:sz="0" w:space="0" w:color="auto"/>
        <w:right w:val="none" w:sz="0" w:space="0" w:color="auto"/>
      </w:divBdr>
    </w:div>
    <w:div w:id="584345335">
      <w:bodyDiv w:val="1"/>
      <w:marLeft w:val="0"/>
      <w:marRight w:val="0"/>
      <w:marTop w:val="0"/>
      <w:marBottom w:val="0"/>
      <w:divBdr>
        <w:top w:val="none" w:sz="0" w:space="0" w:color="auto"/>
        <w:left w:val="none" w:sz="0" w:space="0" w:color="auto"/>
        <w:bottom w:val="none" w:sz="0" w:space="0" w:color="auto"/>
        <w:right w:val="none" w:sz="0" w:space="0" w:color="auto"/>
      </w:divBdr>
    </w:div>
    <w:div w:id="1045525177">
      <w:bodyDiv w:val="1"/>
      <w:marLeft w:val="0"/>
      <w:marRight w:val="0"/>
      <w:marTop w:val="0"/>
      <w:marBottom w:val="0"/>
      <w:divBdr>
        <w:top w:val="none" w:sz="0" w:space="0" w:color="auto"/>
        <w:left w:val="none" w:sz="0" w:space="0" w:color="auto"/>
        <w:bottom w:val="none" w:sz="0" w:space="0" w:color="auto"/>
        <w:right w:val="none" w:sz="0" w:space="0" w:color="auto"/>
      </w:divBdr>
    </w:div>
    <w:div w:id="1121218735">
      <w:bodyDiv w:val="1"/>
      <w:marLeft w:val="0"/>
      <w:marRight w:val="0"/>
      <w:marTop w:val="0"/>
      <w:marBottom w:val="0"/>
      <w:divBdr>
        <w:top w:val="none" w:sz="0" w:space="0" w:color="auto"/>
        <w:left w:val="none" w:sz="0" w:space="0" w:color="auto"/>
        <w:bottom w:val="none" w:sz="0" w:space="0" w:color="auto"/>
        <w:right w:val="none" w:sz="0" w:space="0" w:color="auto"/>
      </w:divBdr>
    </w:div>
    <w:div w:id="1709450617">
      <w:bodyDiv w:val="1"/>
      <w:marLeft w:val="0"/>
      <w:marRight w:val="0"/>
      <w:marTop w:val="0"/>
      <w:marBottom w:val="0"/>
      <w:divBdr>
        <w:top w:val="none" w:sz="0" w:space="0" w:color="auto"/>
        <w:left w:val="none" w:sz="0" w:space="0" w:color="auto"/>
        <w:bottom w:val="none" w:sz="0" w:space="0" w:color="auto"/>
        <w:right w:val="none" w:sz="0" w:space="0" w:color="auto"/>
      </w:divBdr>
    </w:div>
    <w:div w:id="1839148184">
      <w:bodyDiv w:val="1"/>
      <w:marLeft w:val="0"/>
      <w:marRight w:val="0"/>
      <w:marTop w:val="0"/>
      <w:marBottom w:val="0"/>
      <w:divBdr>
        <w:top w:val="none" w:sz="0" w:space="0" w:color="auto"/>
        <w:left w:val="none" w:sz="0" w:space="0" w:color="auto"/>
        <w:bottom w:val="none" w:sz="0" w:space="0" w:color="auto"/>
        <w:right w:val="none" w:sz="0" w:space="0" w:color="auto"/>
      </w:divBdr>
    </w:div>
    <w:div w:id="1859271287">
      <w:bodyDiv w:val="1"/>
      <w:marLeft w:val="0"/>
      <w:marRight w:val="0"/>
      <w:marTop w:val="0"/>
      <w:marBottom w:val="0"/>
      <w:divBdr>
        <w:top w:val="none" w:sz="0" w:space="0" w:color="auto"/>
        <w:left w:val="none" w:sz="0" w:space="0" w:color="auto"/>
        <w:bottom w:val="none" w:sz="0" w:space="0" w:color="auto"/>
        <w:right w:val="none" w:sz="0" w:space="0" w:color="auto"/>
      </w:divBdr>
    </w:div>
    <w:div w:id="2063286875">
      <w:bodyDiv w:val="1"/>
      <w:marLeft w:val="0"/>
      <w:marRight w:val="0"/>
      <w:marTop w:val="0"/>
      <w:marBottom w:val="0"/>
      <w:divBdr>
        <w:top w:val="none" w:sz="0" w:space="0" w:color="auto"/>
        <w:left w:val="none" w:sz="0" w:space="0" w:color="auto"/>
        <w:bottom w:val="none" w:sz="0" w:space="0" w:color="auto"/>
        <w:right w:val="none" w:sz="0" w:space="0" w:color="auto"/>
      </w:divBdr>
    </w:div>
    <w:div w:id="21443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hyperlink" Target="http://www.bridge-health.eu"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rev.oxfordjournals.org/content/24/2/131.ful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bridge-health.eu" TargetMode="External"/><Relationship Id="rId23" Type="http://schemas.openxmlformats.org/officeDocument/2006/relationships/footer" Target="footer2.xml"/><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hyperlink" Target="http://www.archpublichealth.com/content/pdf/2049-3258-71-12.pdf" TargetMode="External"/><Relationship Id="rId4" Type="http://schemas.openxmlformats.org/officeDocument/2006/relationships/customXml" Target="../customXml/item4.xml"/><Relationship Id="rId9" Type="http://schemas.openxmlformats.org/officeDocument/2006/relationships/settings" Target="settings.xm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0328990375E44FB2CBE312F688A7AE" ma:contentTypeVersion="0" ma:contentTypeDescription="Create a new document." ma:contentTypeScope="" ma:versionID="6cfa99c7d53f00d4d982e1f16c33588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34A7D-4CCC-4F1A-96B2-70BC720A57CF}">
  <ds:schemaRefs>
    <ds:schemaRef ds:uri="http://schemas.microsoft.com/office/infopath/2007/PartnerControl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C43DDFE-E546-47D6-9184-F96D0E755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3EA802E-6D3A-41F1-A88D-996153FCF59E}">
  <ds:schemaRefs>
    <ds:schemaRef ds:uri="http://schemas.microsoft.com/sharepoint/v3/contenttype/forms"/>
  </ds:schemaRefs>
</ds:datastoreItem>
</file>

<file path=customXml/itemProps4.xml><?xml version="1.0" encoding="utf-8"?>
<ds:datastoreItem xmlns:ds="http://schemas.openxmlformats.org/officeDocument/2006/customXml" ds:itemID="{799FD2E5-893F-4E8F-971C-01BCF8AE2BA9}">
  <ds:schemaRefs>
    <ds:schemaRef ds:uri="http://schemas.openxmlformats.org/officeDocument/2006/bibliography"/>
  </ds:schemaRefs>
</ds:datastoreItem>
</file>

<file path=customXml/itemProps5.xml><?xml version="1.0" encoding="utf-8"?>
<ds:datastoreItem xmlns:ds="http://schemas.openxmlformats.org/officeDocument/2006/customXml" ds:itemID="{4F683D24-141A-466E-AE73-515C5C859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27</Pages>
  <Words>9836</Words>
  <Characters>56068</Characters>
  <Application>Microsoft Office Word</Application>
  <DocSecurity>0</DocSecurity>
  <Lines>467</Lines>
  <Paragraphs>131</Paragraphs>
  <ScaleCrop>false</ScaleCrop>
  <HeadingPairs>
    <vt:vector size="6" baseType="variant">
      <vt:variant>
        <vt:lpstr>Title</vt:lpstr>
      </vt:variant>
      <vt:variant>
        <vt:i4>1</vt:i4>
      </vt:variant>
      <vt:variant>
        <vt:lpstr>Titre</vt:lpstr>
      </vt:variant>
      <vt:variant>
        <vt:i4>1</vt:i4>
      </vt:variant>
      <vt:variant>
        <vt:lpstr>Otsikko</vt:lpstr>
      </vt:variant>
      <vt:variant>
        <vt:i4>1</vt:i4>
      </vt:variant>
    </vt:vector>
  </HeadingPairs>
  <TitlesOfParts>
    <vt:vector size="3" baseType="lpstr">
      <vt:lpstr/>
      <vt:lpstr/>
      <vt:lpstr/>
    </vt:vector>
  </TitlesOfParts>
  <Company>WIV-ISP</Company>
  <LinksUpToDate>false</LinksUpToDate>
  <CharactersWithSpaces>65773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Petronille Bogaert</dc:creator>
  <cp:lastModifiedBy>Bogaert, Petronille</cp:lastModifiedBy>
  <cp:revision>11</cp:revision>
  <cp:lastPrinted>2017-03-08T14:03:00Z</cp:lastPrinted>
  <dcterms:created xsi:type="dcterms:W3CDTF">2017-03-03T05:24:00Z</dcterms:created>
  <dcterms:modified xsi:type="dcterms:W3CDTF">2017-03-10T12:47:00Z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0x010100950328990375E44FB2CBE312F688A7AE</vt:lpwstr>
  </property>
</Properties>
</file>